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1176"/>
        <w:gridCol w:w="4210"/>
      </w:tblGrid>
      <w:tr w:rsidR="00A21E90">
        <w:trPr>
          <w:trHeight w:val="1366"/>
        </w:trPr>
        <w:tc>
          <w:tcPr>
            <w:tcW w:w="4361" w:type="dxa"/>
            <w:tcMar>
              <w:top w:w="57" w:type="dxa"/>
            </w:tcMar>
          </w:tcPr>
          <w:p w:rsidR="00A21E90" w:rsidRDefault="00A21E90" w:rsidP="00A21E90">
            <w:pPr>
              <w:pStyle w:val="BodyText"/>
              <w:jc w:val="left"/>
            </w:pPr>
            <w:bookmarkStart w:id="0" w:name="_GoBack"/>
            <w:bookmarkEnd w:id="0"/>
          </w:p>
        </w:tc>
        <w:tc>
          <w:tcPr>
            <w:tcW w:w="1176" w:type="dxa"/>
            <w:tcMar>
              <w:top w:w="57" w:type="dxa"/>
            </w:tcMar>
            <w:vAlign w:val="center"/>
          </w:tcPr>
          <w:p w:rsidR="00A21E90" w:rsidRDefault="00310B2A" w:rsidP="00A21E90">
            <w:pPr>
              <w:pStyle w:val="BodyText"/>
              <w:jc w:val="left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609600" cy="853440"/>
                  <wp:effectExtent l="0" t="0" r="0" b="3810"/>
                  <wp:docPr id="1" name="Picture 1" descr="Vappühevärvil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pühevärvil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:rsidR="00A21E90" w:rsidRDefault="00A21E90" w:rsidP="00A21E90">
            <w:pPr>
              <w:pStyle w:val="BodyText"/>
              <w:jc w:val="right"/>
            </w:pPr>
          </w:p>
        </w:tc>
      </w:tr>
    </w:tbl>
    <w:p w:rsidR="0021320C" w:rsidRDefault="0021320C">
      <w:pPr>
        <w:pStyle w:val="BodyText"/>
        <w:tabs>
          <w:tab w:val="left" w:pos="6521"/>
        </w:tabs>
        <w:jc w:val="left"/>
      </w:pPr>
    </w:p>
    <w:p w:rsidR="0021320C" w:rsidRDefault="0021320C">
      <w:pPr>
        <w:pStyle w:val="BodyText"/>
        <w:tabs>
          <w:tab w:val="left" w:pos="6521"/>
        </w:tabs>
        <w:jc w:val="left"/>
        <w:sectPr w:rsidR="0021320C" w:rsidSect="005D3CB1">
          <w:headerReference w:type="even" r:id="rId10"/>
          <w:headerReference w:type="default" r:id="rId11"/>
          <w:type w:val="continuous"/>
          <w:pgSz w:w="11906" w:h="16838" w:code="9"/>
          <w:pgMar w:top="680" w:right="680" w:bottom="510" w:left="1701" w:header="454" w:footer="510" w:gutter="0"/>
          <w:cols w:space="708"/>
          <w:titlePg/>
        </w:sectPr>
      </w:pPr>
    </w:p>
    <w:tbl>
      <w:tblPr>
        <w:tblW w:w="9742" w:type="dxa"/>
        <w:tblLayout w:type="fixed"/>
        <w:tblLook w:val="0000" w:firstRow="0" w:lastRow="0" w:firstColumn="0" w:lastColumn="0" w:noHBand="0" w:noVBand="0"/>
      </w:tblPr>
      <w:tblGrid>
        <w:gridCol w:w="4589"/>
        <w:gridCol w:w="755"/>
        <w:gridCol w:w="1710"/>
        <w:gridCol w:w="2688"/>
      </w:tblGrid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P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TALLINNA LINNAVALITSUS</w:t>
            </w: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center"/>
              <w:rPr>
                <w:sz w:val="28"/>
              </w:rPr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P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ISTUNGI PROTOKOLL</w:t>
            </w: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C977BA">
        <w:trPr>
          <w:cantSplit/>
        </w:trPr>
        <w:tc>
          <w:tcPr>
            <w:tcW w:w="5344" w:type="dxa"/>
            <w:gridSpan w:val="2"/>
          </w:tcPr>
          <w:p w:rsidR="00C977BA" w:rsidRDefault="00C977BA" w:rsidP="00993274">
            <w:pPr>
              <w:pStyle w:val="BodyText"/>
              <w:tabs>
                <w:tab w:val="left" w:pos="6521"/>
              </w:tabs>
              <w:jc w:val="left"/>
            </w:pPr>
            <w:r>
              <w:t>Tallinn</w:t>
            </w:r>
          </w:p>
        </w:tc>
        <w:tc>
          <w:tcPr>
            <w:tcW w:w="1710" w:type="dxa"/>
          </w:tcPr>
          <w:p w:rsidR="00C977BA" w:rsidRDefault="00372621" w:rsidP="00993274">
            <w:pPr>
              <w:pStyle w:val="BodyText"/>
              <w:tabs>
                <w:tab w:val="left" w:pos="6521"/>
              </w:tabs>
              <w:jc w:val="right"/>
            </w:pPr>
            <w:r>
              <w:t>10. mai</w:t>
            </w:r>
          </w:p>
        </w:tc>
        <w:tc>
          <w:tcPr>
            <w:tcW w:w="2688" w:type="dxa"/>
            <w:tcMar>
              <w:left w:w="0" w:type="dxa"/>
            </w:tcMar>
          </w:tcPr>
          <w:p w:rsidR="00C977BA" w:rsidRDefault="004779B8" w:rsidP="00993274">
            <w:pPr>
              <w:pStyle w:val="BodyText"/>
              <w:tabs>
                <w:tab w:val="left" w:pos="6521"/>
              </w:tabs>
              <w:jc w:val="left"/>
            </w:pPr>
            <w:r>
              <w:t>2017</w:t>
            </w:r>
            <w:r w:rsidR="00C977BA">
              <w:rPr>
                <w:rFonts w:ascii="EE Times New Roman" w:hAnsi="EE Times New Roman"/>
              </w:rPr>
              <w:t xml:space="preserve"> nr</w:t>
            </w:r>
            <w:r w:rsidR="00AB2ECB">
              <w:rPr>
                <w:rFonts w:ascii="EE Times New Roman" w:hAnsi="EE Times New Roman"/>
              </w:rPr>
              <w:t xml:space="preserve"> </w:t>
            </w:r>
            <w:r w:rsidR="00372621">
              <w:rPr>
                <w:rFonts w:ascii="EE Times New Roman" w:hAnsi="EE Times New Roman"/>
              </w:rPr>
              <w:t>22</w:t>
            </w: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4589" w:type="dxa"/>
          </w:tcPr>
          <w:p w:rsidR="0021320C" w:rsidRDefault="0021320C" w:rsidP="00372621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  <w:r>
              <w:rPr>
                <w:u w:val="single"/>
              </w:rPr>
              <w:t xml:space="preserve">Päevakorrapunkt </w:t>
            </w:r>
            <w:r w:rsidR="00372621">
              <w:rPr>
                <w:rStyle w:val="pkpnrChar"/>
              </w:rPr>
              <w:t>29</w:t>
            </w:r>
          </w:p>
        </w:tc>
        <w:tc>
          <w:tcPr>
            <w:tcW w:w="5153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</w:p>
        </w:tc>
      </w:tr>
      <w:tr w:rsidR="0021320C">
        <w:trPr>
          <w:cantSplit/>
        </w:trPr>
        <w:tc>
          <w:tcPr>
            <w:tcW w:w="4589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3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4589" w:type="dxa"/>
          </w:tcPr>
          <w:p w:rsidR="0021320C" w:rsidRDefault="00116EF8" w:rsidP="00C977BA">
            <w:pPr>
              <w:pStyle w:val="Pealk1"/>
            </w:pPr>
            <w:r>
              <w:t>Tallinna Linnavolikogu otsuse eelnõu „Tallinna linna 2016. aasta konsolideeritud majandusaasta aruande kinnitamine“</w:t>
            </w:r>
          </w:p>
        </w:tc>
        <w:tc>
          <w:tcPr>
            <w:tcW w:w="5153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  <w:r w:rsidRPr="00C977BA">
              <w:rPr>
                <w:rStyle w:val="otsustatiChar"/>
              </w:rPr>
              <w:t>Otsustati</w:t>
            </w:r>
            <w:r>
              <w:t>:</w:t>
            </w:r>
          </w:p>
        </w:tc>
      </w:tr>
      <w:tr w:rsidR="0021320C">
        <w:trPr>
          <w:cantSplit/>
        </w:trPr>
        <w:tc>
          <w:tcPr>
            <w:tcW w:w="9742" w:type="dxa"/>
            <w:gridSpan w:val="4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4107B4" w:rsidRPr="00372621" w:rsidRDefault="00B563DE" w:rsidP="004107B4">
      <w:pPr>
        <w:pStyle w:val="Loetelu"/>
        <w:numPr>
          <w:ilvl w:val="0"/>
          <w:numId w:val="0"/>
        </w:numPr>
      </w:pPr>
      <w:r>
        <w:t>k</w:t>
      </w:r>
      <w:r w:rsidR="00116EF8">
        <w:t>iita heaks ja esitada Tallinna Linnavolikogule otsuse eelnõu „Tallinna linna 2016. aasta konsolideeritud majandusaasta aruande kinnitamine“.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29"/>
        <w:gridCol w:w="3712"/>
      </w:tblGrid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6029" w:type="dxa"/>
          </w:tcPr>
          <w:p w:rsidR="0021320C" w:rsidRDefault="00D56BBB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  <w:noProof/>
              </w:rPr>
            </w:pPr>
            <w:r>
              <w:t>Taavi Aas</w:t>
            </w:r>
          </w:p>
        </w:tc>
        <w:tc>
          <w:tcPr>
            <w:tcW w:w="3712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21320C">
        <w:trPr>
          <w:cantSplit/>
        </w:trPr>
        <w:tc>
          <w:tcPr>
            <w:tcW w:w="6029" w:type="dxa"/>
          </w:tcPr>
          <w:p w:rsidR="0021320C" w:rsidRDefault="00D56BBB" w:rsidP="00D56BBB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Abil</w:t>
            </w:r>
            <w:r w:rsidR="0021320C">
              <w:rPr>
                <w:noProof/>
              </w:rPr>
              <w:t>innapea</w:t>
            </w:r>
            <w:r>
              <w:rPr>
                <w:noProof/>
              </w:rPr>
              <w:t xml:space="preserve"> linnapea ülesannetes</w:t>
            </w:r>
          </w:p>
        </w:tc>
        <w:tc>
          <w:tcPr>
            <w:tcW w:w="3712" w:type="dxa"/>
          </w:tcPr>
          <w:p w:rsidR="0021320C" w:rsidRDefault="00D56BBB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t>Toomas Sepp</w:t>
            </w:r>
          </w:p>
        </w:tc>
      </w:tr>
      <w:tr w:rsidR="0021320C">
        <w:trPr>
          <w:cantSplit/>
        </w:trPr>
        <w:tc>
          <w:tcPr>
            <w:tcW w:w="6029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  <w:tc>
          <w:tcPr>
            <w:tcW w:w="3712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Linnasekretär</w:t>
            </w:r>
          </w:p>
        </w:tc>
      </w:tr>
    </w:tbl>
    <w:p w:rsidR="0021320C" w:rsidRDefault="0021320C">
      <w:pPr>
        <w:pStyle w:val="Header"/>
        <w:tabs>
          <w:tab w:val="clear" w:pos="4153"/>
          <w:tab w:val="clear" w:pos="8306"/>
        </w:tabs>
        <w:sectPr w:rsidR="0021320C">
          <w:type w:val="continuous"/>
          <w:pgSz w:w="11906" w:h="16838" w:code="9"/>
          <w:pgMar w:top="680" w:right="680" w:bottom="510" w:left="1701" w:header="680" w:footer="510" w:gutter="0"/>
          <w:cols w:space="708"/>
          <w:titlePg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361"/>
        <w:gridCol w:w="1276"/>
        <w:gridCol w:w="4110"/>
      </w:tblGrid>
      <w:tr w:rsidR="00A21E90">
        <w:trPr>
          <w:trHeight w:val="1366"/>
        </w:trPr>
        <w:tc>
          <w:tcPr>
            <w:tcW w:w="4361" w:type="dxa"/>
            <w:tcMar>
              <w:top w:w="57" w:type="dxa"/>
            </w:tcMar>
          </w:tcPr>
          <w:p w:rsidR="00A21E90" w:rsidRDefault="00A21E90" w:rsidP="00A21E90">
            <w:pPr>
              <w:pStyle w:val="BodyText"/>
              <w:jc w:val="left"/>
            </w:pPr>
          </w:p>
        </w:tc>
        <w:tc>
          <w:tcPr>
            <w:tcW w:w="1276" w:type="dxa"/>
            <w:tcMar>
              <w:top w:w="57" w:type="dxa"/>
            </w:tcMar>
            <w:vAlign w:val="center"/>
          </w:tcPr>
          <w:p w:rsidR="00A21E90" w:rsidRDefault="00310B2A" w:rsidP="00A21E90">
            <w:pPr>
              <w:pStyle w:val="BodyText"/>
              <w:jc w:val="left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609600" cy="853440"/>
                  <wp:effectExtent l="0" t="0" r="0" b="3810"/>
                  <wp:docPr id="2" name="Picture 2" descr="Vappühevärvil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ppühevärvil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21E90" w:rsidRDefault="00B91317" w:rsidP="00A21E90">
            <w:pPr>
              <w:pStyle w:val="BodyText"/>
              <w:jc w:val="right"/>
            </w:pPr>
            <w:r>
              <w:t>EELNÕU</w:t>
            </w:r>
            <w:r>
              <w:br/>
            </w:r>
            <w:r w:rsidR="00372621" w:rsidRPr="00372621">
              <w:t>10.05.2017</w:t>
            </w:r>
          </w:p>
        </w:tc>
      </w:tr>
    </w:tbl>
    <w:p w:rsidR="0021320C" w:rsidRDefault="0021320C"/>
    <w:p w:rsidR="0021320C" w:rsidRDefault="0021320C">
      <w:pPr>
        <w:sectPr w:rsidR="0021320C">
          <w:headerReference w:type="even" r:id="rId12"/>
          <w:headerReference w:type="default" r:id="rId13"/>
          <w:pgSz w:w="11906" w:h="16838" w:code="9"/>
          <w:pgMar w:top="680" w:right="680" w:bottom="510" w:left="1701" w:header="680" w:footer="510" w:gutter="0"/>
          <w:pgNumType w:start="1"/>
          <w:cols w:space="708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1412"/>
        <w:gridCol w:w="3740"/>
      </w:tblGrid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center"/>
              <w:rPr>
                <w:rFonts w:ascii="EE Times New Roman" w:hAnsi="EE Times New Roman"/>
                <w:b/>
                <w:sz w:val="28"/>
              </w:rPr>
            </w:pPr>
            <w:r>
              <w:rPr>
                <w:sz w:val="28"/>
              </w:rPr>
              <w:lastRenderedPageBreak/>
              <w:t>TALLINNA LINNAVOLIKOGU</w:t>
            </w: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center"/>
              <w:rPr>
                <w:b/>
              </w:rPr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center"/>
              <w:rPr>
                <w:caps/>
              </w:rPr>
            </w:pPr>
            <w:r>
              <w:rPr>
                <w:b/>
                <w:caps/>
                <w:sz w:val="28"/>
              </w:rPr>
              <w:t>OTSUS</w:t>
            </w: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ind w:right="113"/>
              <w:jc w:val="righ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center"/>
            </w:pPr>
          </w:p>
        </w:tc>
      </w:tr>
      <w:tr w:rsidR="0021320C">
        <w:trPr>
          <w:cantSplit/>
        </w:trPr>
        <w:tc>
          <w:tcPr>
            <w:tcW w:w="600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  <w:r>
              <w:t>Tallinn</w:t>
            </w:r>
          </w:p>
        </w:tc>
        <w:tc>
          <w:tcPr>
            <w:tcW w:w="3740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  <w:r>
              <w:fldChar w:fldCharType="begin"/>
            </w:r>
            <w:r>
              <w:instrText>MACROBUTTON NoMacro [kuupäev]</w:instrText>
            </w:r>
            <w:r>
              <w:fldChar w:fldCharType="end"/>
            </w:r>
            <w:r>
              <w:t xml:space="preserve"> </w:t>
            </w:r>
            <w:r>
              <w:rPr>
                <w:rFonts w:ascii="EE Times New Roman" w:hAnsi="EE Times New Roman"/>
              </w:rPr>
              <w:t xml:space="preserve">nr </w:t>
            </w:r>
            <w:r>
              <w:fldChar w:fldCharType="begin"/>
            </w:r>
            <w:r>
              <w:instrText>MACROBUTTON NoMacro [nr]</w:instrText>
            </w:r>
            <w:r>
              <w:fldChar w:fldCharType="end"/>
            </w: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ind w:right="113"/>
              <w:jc w:val="righ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4589" w:type="dxa"/>
          </w:tcPr>
          <w:p w:rsidR="0021320C" w:rsidRDefault="0050213F" w:rsidP="00C977BA">
            <w:pPr>
              <w:pStyle w:val="Pealk1"/>
              <w:rPr>
                <w:rFonts w:ascii="EE Times New Roman" w:hAnsi="EE Times New Roman"/>
              </w:rPr>
            </w:pPr>
            <w:r>
              <w:t>Tallinna linna 2016. aasta konsolideeritud majandusaasta aruande kinnitamine</w:t>
            </w:r>
          </w:p>
        </w:tc>
        <w:tc>
          <w:tcPr>
            <w:tcW w:w="5152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E65672">
            <w:pPr>
              <w:pStyle w:val="BodyText"/>
              <w:tabs>
                <w:tab w:val="left" w:pos="6521"/>
              </w:tabs>
              <w:rPr>
                <w:rFonts w:ascii="EE Times New Roman" w:hAnsi="EE Times New Roman"/>
              </w:rPr>
            </w:pPr>
            <w:hyperlink r:id="rId14" w:history="1">
              <w:r w:rsidR="0050213F" w:rsidRPr="007A1699">
                <w:rPr>
                  <w:szCs w:val="24"/>
                  <w:lang w:eastAsia="et-EE"/>
                </w:rPr>
                <w:t>Kohaliku omavalitsuse korralduse seaduse</w:t>
              </w:r>
            </w:hyperlink>
            <w:r w:rsidR="0050213F">
              <w:rPr>
                <w:noProof/>
              </w:rPr>
              <w:t xml:space="preserve"> § 22 lõike 1 punkt 1 </w:t>
            </w:r>
            <w:r w:rsidR="0050213F" w:rsidRPr="006B4DDD">
              <w:rPr>
                <w:noProof/>
              </w:rPr>
              <w:t>ja</w:t>
            </w:r>
            <w:r w:rsidR="0050213F">
              <w:rPr>
                <w:noProof/>
              </w:rPr>
              <w:t xml:space="preserve"> </w:t>
            </w:r>
            <w:hyperlink r:id="rId15" w:history="1">
              <w:r w:rsidR="0050213F">
                <w:rPr>
                  <w:szCs w:val="24"/>
                  <w:lang w:eastAsia="et-EE"/>
                </w:rPr>
                <w:t>k</w:t>
              </w:r>
              <w:r w:rsidR="0050213F" w:rsidRPr="001976F0">
                <w:rPr>
                  <w:szCs w:val="24"/>
                  <w:lang w:eastAsia="et-EE"/>
                </w:rPr>
                <w:t>ohaliku omavalitsuse üksuse finantsjuhtimise seaduse</w:t>
              </w:r>
            </w:hyperlink>
            <w:r w:rsidR="0050213F" w:rsidRPr="006B4DDD">
              <w:rPr>
                <w:noProof/>
              </w:rPr>
              <w:t xml:space="preserve"> § 29 lõike 11 alusel.</w:t>
            </w: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3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21320C" w:rsidRDefault="00272E67">
      <w:pPr>
        <w:pStyle w:val="Loet"/>
      </w:pPr>
      <w:r>
        <w:rPr>
          <w:noProof/>
        </w:rPr>
        <w:t>Kinnitada Tallinna linna 2016</w:t>
      </w:r>
      <w:r w:rsidR="0050213F" w:rsidRPr="006B4DDD">
        <w:rPr>
          <w:noProof/>
        </w:rPr>
        <w:t>. aasta konsolideeritud majandusaasta aruanne vastavalt lisale</w:t>
      </w:r>
      <w:r w:rsidR="0050213F">
        <w:rPr>
          <w:noProof/>
        </w:rPr>
        <w:t>.</w:t>
      </w:r>
    </w:p>
    <w:p w:rsidR="0021320C" w:rsidRDefault="0050213F">
      <w:pPr>
        <w:pStyle w:val="Loet"/>
      </w:pPr>
      <w:r w:rsidRPr="006B4DDD">
        <w:rPr>
          <w:noProof/>
        </w:rPr>
        <w:t>L</w:t>
      </w:r>
      <w:r w:rsidRPr="006B4DD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1E4D97E0" wp14:editId="21C8240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39995" cy="554355"/>
                <wp:effectExtent l="0" t="0" r="825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213F" w:rsidRDefault="0050213F" w:rsidP="0050213F">
                            <w:pPr>
                              <w:pStyle w:val="BodyText"/>
                            </w:pPr>
                            <w:r>
                              <w:t>Eelnõu esitaja: Tallinna Linnavalitsus</w:t>
                            </w:r>
                          </w:p>
                          <w:p w:rsidR="0050213F" w:rsidRDefault="0050213F" w:rsidP="0050213F">
                            <w:pPr>
                              <w:pStyle w:val="BodyText"/>
                            </w:pPr>
                          </w:p>
                          <w:p w:rsidR="0050213F" w:rsidRDefault="0050213F" w:rsidP="0050213F">
                            <w:pPr>
                              <w:pStyle w:val="BodyText"/>
                            </w:pPr>
                            <w:r>
                              <w:t>Eelnõu koostaja: linna finantsteenistus</w:t>
                            </w:r>
                          </w:p>
                          <w:p w:rsidR="0050213F" w:rsidRDefault="0050213F" w:rsidP="005021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96.85pt;height:4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" o:allowincell="f" o:allowoverlap="f" stroked="f">
                <v:textbox inset="0,0,0,0">
                  <w:txbxContent>
                    <w:p w:rsidR="0050213F" w:rsidRDefault="0050213F" w:rsidP="0050213F">
                      <w:pPr>
                        <w:pStyle w:val="BodyText"/>
                      </w:pPr>
                      <w:r>
                        <w:t>Eelnõu esitaja: Tallinna Linnavalitsus</w:t>
                      </w:r>
                    </w:p>
                    <w:p w:rsidR="0050213F" w:rsidRDefault="0050213F" w:rsidP="0050213F">
                      <w:pPr>
                        <w:pStyle w:val="BodyText"/>
                      </w:pPr>
                    </w:p>
                    <w:p w:rsidR="0050213F" w:rsidRDefault="0050213F" w:rsidP="0050213F">
                      <w:pPr>
                        <w:pStyle w:val="BodyText"/>
                      </w:pPr>
                      <w:r>
                        <w:t>Eelnõu koostaja: linna finantsteenistus</w:t>
                      </w:r>
                    </w:p>
                    <w:p w:rsidR="0050213F" w:rsidRDefault="0050213F" w:rsidP="0050213F">
                      <w:pPr>
                        <w:pStyle w:val="BodyText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6B4DDD">
        <w:rPr>
          <w:noProof/>
        </w:rPr>
        <w:t>inna finantsteenistu</w:t>
      </w:r>
      <w:r>
        <w:rPr>
          <w:noProof/>
        </w:rPr>
        <w:t>sel avaldada Tallinna linna 2016</w:t>
      </w:r>
      <w:r w:rsidRPr="006B4DDD">
        <w:rPr>
          <w:noProof/>
        </w:rPr>
        <w:t>. aasta konsolideeritud majandusaasta aruanne, vandeaudiitori aruanne, linnavalitsuse protokolliline otsus aruande heakskiitmise kohta ning käesolev otsus seitsme tööpäeva jooksul pärast nende kinnitamist Tallinna veebilehel.</w:t>
      </w:r>
    </w:p>
    <w:p w:rsidR="0021320C" w:rsidRDefault="0021320C">
      <w:pPr>
        <w:pStyle w:val="Loet"/>
      </w:pPr>
      <w:r>
        <w:t xml:space="preserve">Otsust on võimalik vaidlustada Tallinna Halduskohtus </w:t>
      </w:r>
      <w:r w:rsidRPr="00A34337">
        <w:t xml:space="preserve">(Pärnu mnt 7, </w:t>
      </w:r>
      <w:r w:rsidR="00A34337" w:rsidRPr="00A34337">
        <w:t>15082 Tallinn</w:t>
      </w:r>
      <w:r w:rsidRPr="00A34337">
        <w:t>)</w:t>
      </w:r>
      <w:r>
        <w:t xml:space="preserve"> 30</w:t>
      </w:r>
      <w:r w:rsidR="00C977BA">
        <w:t> </w:t>
      </w:r>
      <w:r>
        <w:t>päeva jooksul arvates otsuse teatavakstegemisest.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F173D4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Kalev Kallo</w:t>
            </w: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  <w:r>
              <w:t>Tallinna Linnavolikogu esimees</w:t>
            </w: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21320C" w:rsidRDefault="0021320C"/>
    <w:p w:rsidR="0021320C" w:rsidRDefault="0021320C">
      <w:pPr>
        <w:sectPr w:rsidR="0021320C">
          <w:type w:val="continuous"/>
          <w:pgSz w:w="11906" w:h="16838" w:code="9"/>
          <w:pgMar w:top="680" w:right="680" w:bottom="510" w:left="1701" w:header="680" w:footer="510" w:gutter="0"/>
          <w:pgNumType w:start="1"/>
          <w:cols w:space="708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Seletuskiri</w:t>
            </w: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  <w:r>
              <w:t>Tallinna Linnavolikogu otsuse eelnõu</w:t>
            </w:r>
          </w:p>
        </w:tc>
      </w:tr>
      <w:tr w:rsidR="0021320C">
        <w:trPr>
          <w:cantSplit/>
        </w:trPr>
        <w:tc>
          <w:tcPr>
            <w:tcW w:w="4589" w:type="dxa"/>
          </w:tcPr>
          <w:p w:rsidR="0021320C" w:rsidRDefault="00A5330F" w:rsidP="00A5330F">
            <w:pPr>
              <w:pStyle w:val="BodyText"/>
              <w:tabs>
                <w:tab w:val="left" w:pos="6521"/>
              </w:tabs>
              <w:jc w:val="left"/>
            </w:pPr>
            <w:r>
              <w:t>„</w:t>
            </w:r>
            <w:r w:rsidR="00F173D4">
              <w:rPr>
                <w:noProof/>
              </w:rPr>
              <w:t>Tallinna linna 2016</w:t>
            </w:r>
            <w:r w:rsidR="00F173D4" w:rsidRPr="006B4DDD">
              <w:rPr>
                <w:noProof/>
              </w:rPr>
              <w:t>. aasta konsolideeritud majandusaasta aruande kinnitamine</w:t>
            </w:r>
            <w:r w:rsidR="00F173D4">
              <w:t xml:space="preserve"> </w:t>
            </w:r>
            <w:r w:rsidR="0021320C">
              <w:t>” juurde</w:t>
            </w:r>
          </w:p>
        </w:tc>
        <w:tc>
          <w:tcPr>
            <w:tcW w:w="5152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  <w:gridSpan w:val="2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21320C" w:rsidRDefault="00F173D4" w:rsidP="00C977BA">
      <w:pPr>
        <w:pStyle w:val="Sisu"/>
      </w:pPr>
      <w:r w:rsidRPr="006B4DDD">
        <w:rPr>
          <w:noProof/>
        </w:rPr>
        <w:t>Otsuse eelnõuga tehakse Tallinna Linnavolikogule ettepanek kinnitada Tallinna</w:t>
      </w:r>
      <w:r>
        <w:rPr>
          <w:noProof/>
        </w:rPr>
        <w:t xml:space="preserve"> linna 2016</w:t>
      </w:r>
      <w:r w:rsidRPr="006B4DDD">
        <w:rPr>
          <w:noProof/>
        </w:rPr>
        <w:t>. aasta konsolideeritud majandusaa</w:t>
      </w:r>
      <w:r>
        <w:rPr>
          <w:noProof/>
        </w:rPr>
        <w:t>sta aruanne. Tallinna linna 2016</w:t>
      </w:r>
      <w:r w:rsidRPr="006B4DDD">
        <w:rPr>
          <w:noProof/>
        </w:rPr>
        <w:t>. aasta konsolideeritud majandusaasta aruanne sisaldab informatsiooni linna ametiasutuste ja nende hallatavate asutuste ning linna valitseva ja olulise mõju all olevate juriidiliste isikute majandustegevuse tule</w:t>
      </w:r>
      <w:r>
        <w:rPr>
          <w:noProof/>
        </w:rPr>
        <w:t>muste kohta. Tallinna linna 2016</w:t>
      </w:r>
      <w:r w:rsidRPr="006B4DDD">
        <w:rPr>
          <w:noProof/>
        </w:rPr>
        <w:t>. aasta konsolideeritud maj</w:t>
      </w:r>
      <w:r>
        <w:rPr>
          <w:noProof/>
        </w:rPr>
        <w:t>andusaasta aruannet auditeeris KPMG</w:t>
      </w:r>
      <w:r w:rsidRPr="006B4DDD">
        <w:rPr>
          <w:noProof/>
        </w:rPr>
        <w:t xml:space="preserve"> Baltic</w:t>
      </w:r>
      <w:r>
        <w:rPr>
          <w:noProof/>
        </w:rPr>
        <w:t>s</w:t>
      </w:r>
      <w:r w:rsidRPr="006B4DDD">
        <w:rPr>
          <w:noProof/>
        </w:rPr>
        <w:t xml:space="preserve"> </w:t>
      </w:r>
      <w:r>
        <w:rPr>
          <w:noProof/>
        </w:rPr>
        <w:t>OÜ,</w:t>
      </w:r>
      <w:r w:rsidRPr="00855D86">
        <w:rPr>
          <w:noProof/>
        </w:rPr>
        <w:t xml:space="preserve"> </w:t>
      </w:r>
      <w:r>
        <w:rPr>
          <w:noProof/>
        </w:rPr>
        <w:t>kes andis linna 2016</w:t>
      </w:r>
      <w:r w:rsidRPr="006B4DDD">
        <w:rPr>
          <w:noProof/>
        </w:rPr>
        <w:t xml:space="preserve">. aasta raamatupidamise aastaaruandele märkusteta vandeaudiitori aruande. </w:t>
      </w:r>
      <w:r w:rsidRPr="005E1E1E">
        <w:rPr>
          <w:noProof/>
        </w:rPr>
        <w:t>Märkusteta vandeaudiitori aruanne on kinnitus sellele, et linna finantsaruandlus on usaldusväärne ning kajastab õigesti ja õiglaselt linna finantsmajanduslikku seisundit.</w:t>
      </w:r>
    </w:p>
    <w:p w:rsidR="0021320C" w:rsidRPr="0042448D" w:rsidRDefault="00E65672" w:rsidP="00381C15">
      <w:pPr>
        <w:spacing w:after="200" w:line="276" w:lineRule="auto"/>
        <w:rPr>
          <w:rFonts w:eastAsia="Calibri"/>
          <w:color w:val="0000FF"/>
          <w:szCs w:val="24"/>
          <w:u w:val="single"/>
        </w:rPr>
      </w:pPr>
      <w:hyperlink r:id="rId16" w:history="1">
        <w:r w:rsidR="0042448D" w:rsidRPr="0042448D">
          <w:rPr>
            <w:rFonts w:eastAsia="Calibri"/>
            <w:color w:val="0000FF"/>
            <w:szCs w:val="24"/>
            <w:u w:val="single"/>
          </w:rPr>
          <w:t>Kohaliku omavalitsuse üksuse finantsjuhtimise seaduse</w:t>
        </w:r>
      </w:hyperlink>
      <w:r w:rsidR="0023394F">
        <w:t xml:space="preserve"> § 29 lõike 2 kohaselt on majandusaasta aruande koostajaks linnavalitsus ning vastavalt § 29 lõikele 11 esitataks</w:t>
      </w:r>
      <w:r w:rsidR="00944CDB">
        <w:t>e</w:t>
      </w:r>
      <w:r w:rsidR="0023394F">
        <w:t xml:space="preserve"> aruanne linnavolikogule kinnita</w:t>
      </w:r>
      <w:r w:rsidR="007E11B8">
        <w:t xml:space="preserve">miseks hiljemalt </w:t>
      </w:r>
      <w:r w:rsidR="00377ED9">
        <w:t>31. maiks.</w:t>
      </w:r>
      <w:r w:rsidR="00377ED9" w:rsidRPr="00377ED9">
        <w:rPr>
          <w:rFonts w:eastAsia="Calibri"/>
          <w:color w:val="0000FF"/>
          <w:szCs w:val="24"/>
          <w:u w:val="single"/>
        </w:rPr>
        <w:t xml:space="preserve"> </w:t>
      </w:r>
      <w:hyperlink r:id="rId17" w:history="1">
        <w:r w:rsidR="00377ED9" w:rsidRPr="00377ED9">
          <w:rPr>
            <w:rFonts w:eastAsia="Calibri"/>
            <w:color w:val="0000FF"/>
            <w:szCs w:val="24"/>
            <w:u w:val="single"/>
          </w:rPr>
          <w:t>Kohaliku omavalitsuse korralduse seaduse</w:t>
        </w:r>
      </w:hyperlink>
      <w:r w:rsidR="0023394F">
        <w:t xml:space="preserve"> § 22 lõike 1 punkti 1 kohaselt on majandusaasta aruande kinnitamine volikogu ainupädevuses.</w:t>
      </w:r>
    </w:p>
    <w:p w:rsidR="0023394F" w:rsidRDefault="0023394F">
      <w:pPr>
        <w:pStyle w:val="BodyText"/>
        <w:spacing w:after="120"/>
      </w:pPr>
      <w:r>
        <w:t>Majandusaasta aruanne esitatakse järgmises koosseisus:</w:t>
      </w:r>
    </w:p>
    <w:p w:rsidR="0023394F" w:rsidRDefault="0023394F" w:rsidP="0023394F">
      <w:pPr>
        <w:pStyle w:val="BodyText"/>
        <w:numPr>
          <w:ilvl w:val="0"/>
          <w:numId w:val="8"/>
        </w:numPr>
        <w:spacing w:after="120"/>
      </w:pPr>
      <w:r>
        <w:t xml:space="preserve">tegevusaruanne, sh ülevaade linna valitseva ja olulise mõju all olevate äriühingute, sihtasutuste </w:t>
      </w:r>
      <w:r w:rsidR="00A0621E">
        <w:t>ning</w:t>
      </w:r>
      <w:r>
        <w:t xml:space="preserve"> mittetulundusühingu tegevusest;</w:t>
      </w:r>
    </w:p>
    <w:p w:rsidR="0023394F" w:rsidRDefault="005D5F87" w:rsidP="0023394F">
      <w:pPr>
        <w:pStyle w:val="BodyText"/>
        <w:numPr>
          <w:ilvl w:val="0"/>
          <w:numId w:val="8"/>
        </w:numPr>
        <w:spacing w:after="120"/>
      </w:pPr>
      <w:r>
        <w:t xml:space="preserve">Tallinna linna </w:t>
      </w:r>
      <w:r w:rsidR="0023394F">
        <w:t>konsolideeritud raamatupidamise aastaaruanne, sh linna eelarve täitmise aruanne;</w:t>
      </w:r>
    </w:p>
    <w:p w:rsidR="0023394F" w:rsidRDefault="0023394F" w:rsidP="0023394F">
      <w:pPr>
        <w:pStyle w:val="BodyText"/>
        <w:numPr>
          <w:ilvl w:val="0"/>
          <w:numId w:val="8"/>
        </w:numPr>
        <w:spacing w:after="120"/>
      </w:pPr>
      <w:r>
        <w:t>vandeaudiitori aruanne.</w:t>
      </w:r>
    </w:p>
    <w:p w:rsidR="0023394F" w:rsidRPr="006A6121" w:rsidRDefault="007E11B8" w:rsidP="007E11B8">
      <w:pPr>
        <w:pStyle w:val="BodyText"/>
        <w:spacing w:after="120"/>
        <w:rPr>
          <w:b/>
        </w:rPr>
      </w:pPr>
      <w:r w:rsidRPr="006A6121">
        <w:rPr>
          <w:b/>
        </w:rPr>
        <w:t>Tegevusaruanne</w:t>
      </w:r>
    </w:p>
    <w:p w:rsidR="007E11B8" w:rsidRPr="00E711F4" w:rsidRDefault="007E11B8" w:rsidP="007E11B8">
      <w:pPr>
        <w:pStyle w:val="BodyText"/>
        <w:spacing w:after="120"/>
      </w:pPr>
      <w:r w:rsidRPr="00E711F4">
        <w:t>Tegevusaruandes antakse ülevaade linna konsolideerimisgrupi, so</w:t>
      </w:r>
      <w:r w:rsidR="009E34E0" w:rsidRPr="00E711F4">
        <w:t xml:space="preserve"> 23 ametiasutuse ja nende </w:t>
      </w:r>
      <w:r w:rsidR="00AB6ACD" w:rsidRPr="00E711F4">
        <w:t>250</w:t>
      </w:r>
      <w:r w:rsidR="00386C49">
        <w:t> </w:t>
      </w:r>
      <w:r w:rsidR="009E34E0" w:rsidRPr="00E711F4">
        <w:t>hallatava asutuse ning linna valitseva mõju all oleva 9 äriühingu, 14 sihtasutuse ja ühe mittetulundusühingu majandusaasta tegevustest</w:t>
      </w:r>
      <w:r w:rsidR="00A2076D">
        <w:t xml:space="preserve"> ning linna arengukava eesmärkide täitmisest</w:t>
      </w:r>
      <w:r w:rsidR="009E34E0" w:rsidRPr="00E711F4">
        <w:t>.</w:t>
      </w:r>
    </w:p>
    <w:p w:rsidR="009E34E0" w:rsidRDefault="005D5F87" w:rsidP="007E11B8">
      <w:pPr>
        <w:pStyle w:val="BodyText"/>
        <w:spacing w:after="120"/>
      </w:pPr>
      <w:r w:rsidRPr="00E711F4">
        <w:t>Tallinna l</w:t>
      </w:r>
      <w:r w:rsidR="009E34E0" w:rsidRPr="00E711F4">
        <w:t>inna k</w:t>
      </w:r>
      <w:r w:rsidR="00AB6ACD" w:rsidRPr="00E711F4">
        <w:t>onsolideerimisgrupis töötas 2016</w:t>
      </w:r>
      <w:r w:rsidR="009E34E0" w:rsidRPr="00E711F4">
        <w:t xml:space="preserve">. </w:t>
      </w:r>
      <w:r w:rsidR="00AB6ACD" w:rsidRPr="00E711F4">
        <w:t>a</w:t>
      </w:r>
      <w:r w:rsidR="009E34E0" w:rsidRPr="00E711F4">
        <w:t xml:space="preserve">astal </w:t>
      </w:r>
      <w:r w:rsidR="00AB6ACD" w:rsidRPr="00E711F4">
        <w:t>kokku ligi 19</w:t>
      </w:r>
      <w:r w:rsidR="005D639A">
        <w:t> </w:t>
      </w:r>
      <w:r w:rsidR="009E34E0" w:rsidRPr="00E711F4">
        <w:t>tuhat töötajat</w:t>
      </w:r>
      <w:r w:rsidR="005D639A">
        <w:t xml:space="preserve"> ja nende</w:t>
      </w:r>
      <w:r w:rsidR="00AB6ACD" w:rsidRPr="00E711F4">
        <w:t xml:space="preserve"> kesk</w:t>
      </w:r>
      <w:r w:rsidR="009E34E0" w:rsidRPr="00E711F4">
        <w:t>m</w:t>
      </w:r>
      <w:r w:rsidR="00AB6ACD" w:rsidRPr="00E711F4">
        <w:t>i</w:t>
      </w:r>
      <w:r w:rsidR="009E34E0" w:rsidRPr="00E711F4">
        <w:t xml:space="preserve">ne töötasu kuus </w:t>
      </w:r>
      <w:r w:rsidR="005D639A">
        <w:t xml:space="preserve">oli </w:t>
      </w:r>
      <w:r w:rsidR="009E34E0" w:rsidRPr="00E711F4">
        <w:t>1 </w:t>
      </w:r>
      <w:r w:rsidR="00AB6ACD" w:rsidRPr="00E711F4">
        <w:t>121</w:t>
      </w:r>
      <w:r w:rsidR="009E34E0" w:rsidRPr="00E711F4">
        <w:t xml:space="preserve"> </w:t>
      </w:r>
      <w:r w:rsidR="00AB6ACD" w:rsidRPr="00E711F4">
        <w:t>eurot (2015</w:t>
      </w:r>
      <w:r w:rsidR="00944CDB" w:rsidRPr="00E711F4">
        <w:t>:</w:t>
      </w:r>
      <w:r w:rsidRPr="00E711F4">
        <w:t> </w:t>
      </w:r>
      <w:r w:rsidR="00AB6ACD" w:rsidRPr="00E711F4">
        <w:t>1</w:t>
      </w:r>
      <w:r w:rsidR="0085345F" w:rsidRPr="00E711F4">
        <w:t> </w:t>
      </w:r>
      <w:r w:rsidR="00AB6ACD" w:rsidRPr="00E711F4">
        <w:t>036</w:t>
      </w:r>
      <w:r w:rsidR="0085345F" w:rsidRPr="00E711F4">
        <w:t> </w:t>
      </w:r>
      <w:r w:rsidR="00AB6ACD" w:rsidRPr="00E711F4">
        <w:t xml:space="preserve">eurot). </w:t>
      </w:r>
      <w:r w:rsidR="005D639A">
        <w:t xml:space="preserve">Sealhulgas töötas </w:t>
      </w:r>
      <w:r w:rsidRPr="00E711F4">
        <w:t>Tallinna l</w:t>
      </w:r>
      <w:r w:rsidR="00AB6ACD" w:rsidRPr="00E711F4">
        <w:t>inna</w:t>
      </w:r>
      <w:r w:rsidR="00386C49">
        <w:t xml:space="preserve"> asutustes</w:t>
      </w:r>
      <w:r w:rsidR="00AB6ACD" w:rsidRPr="00E711F4">
        <w:t xml:space="preserve"> kokku </w:t>
      </w:r>
      <w:r w:rsidR="0085345F" w:rsidRPr="00E711F4">
        <w:t xml:space="preserve">üle </w:t>
      </w:r>
      <w:r w:rsidR="00AB6ACD" w:rsidRPr="00E711F4">
        <w:t>12</w:t>
      </w:r>
      <w:r w:rsidR="005D639A">
        <w:t> </w:t>
      </w:r>
      <w:r w:rsidR="0085345F" w:rsidRPr="00E711F4">
        <w:t xml:space="preserve">tuhande </w:t>
      </w:r>
      <w:r w:rsidR="00AB6ACD" w:rsidRPr="00E711F4">
        <w:t>töötaja</w:t>
      </w:r>
      <w:r w:rsidR="00386C49">
        <w:t xml:space="preserve"> ja</w:t>
      </w:r>
      <w:r w:rsidR="00AB6ACD" w:rsidRPr="00E711F4">
        <w:t xml:space="preserve"> </w:t>
      </w:r>
      <w:r w:rsidR="00386C49">
        <w:t>nende</w:t>
      </w:r>
      <w:r w:rsidR="009E34E0" w:rsidRPr="00E711F4">
        <w:t xml:space="preserve"> </w:t>
      </w:r>
      <w:r w:rsidR="005D639A">
        <w:t xml:space="preserve">kuu </w:t>
      </w:r>
      <w:r w:rsidR="009E34E0" w:rsidRPr="00E711F4">
        <w:t>kesk</w:t>
      </w:r>
      <w:r w:rsidR="00AB6ACD" w:rsidRPr="00E711F4">
        <w:t>m</w:t>
      </w:r>
      <w:r w:rsidR="009E34E0" w:rsidRPr="00E711F4">
        <w:t xml:space="preserve">ine töötasu </w:t>
      </w:r>
      <w:r w:rsidR="005D639A">
        <w:t xml:space="preserve">aruandeaastal oli </w:t>
      </w:r>
      <w:r w:rsidR="00AB6ACD" w:rsidRPr="00E711F4">
        <w:t>1 045</w:t>
      </w:r>
      <w:r w:rsidR="005D639A">
        <w:t> </w:t>
      </w:r>
      <w:r w:rsidR="009E34E0" w:rsidRPr="00E711F4">
        <w:t>eurot (20</w:t>
      </w:r>
      <w:r w:rsidR="00AB6ACD" w:rsidRPr="00E711F4">
        <w:t>15</w:t>
      </w:r>
      <w:r w:rsidRPr="00E711F4">
        <w:t>: </w:t>
      </w:r>
      <w:r w:rsidR="007D746C" w:rsidRPr="00E711F4">
        <w:t>962</w:t>
      </w:r>
      <w:r w:rsidR="00386C49">
        <w:t> </w:t>
      </w:r>
      <w:r w:rsidR="009E34E0" w:rsidRPr="00E711F4">
        <w:t>eurot)</w:t>
      </w:r>
      <w:r w:rsidR="005D639A">
        <w:t>. Linna töötajate töötasu kasv võrreldes eelneva aastaga oli 8,6%.</w:t>
      </w:r>
    </w:p>
    <w:p w:rsidR="00E5007B" w:rsidRDefault="00AA1494" w:rsidP="00E5007B">
      <w:pPr>
        <w:pStyle w:val="BodyText"/>
        <w:spacing w:after="120"/>
      </w:pPr>
      <w:r>
        <w:t>L</w:t>
      </w:r>
      <w:r w:rsidR="005D639A">
        <w:t>inna konsolideerimisgrupi finantspositsioon</w:t>
      </w:r>
      <w:r>
        <w:t xml:space="preserve"> tervikuna</w:t>
      </w:r>
      <w:r w:rsidR="005D639A">
        <w:t xml:space="preserve"> on </w:t>
      </w:r>
      <w:r>
        <w:t>tugev</w:t>
      </w:r>
      <w:r w:rsidR="005D639A">
        <w:t xml:space="preserve">. </w:t>
      </w:r>
      <w:r w:rsidR="00157B7A">
        <w:t>L</w:t>
      </w:r>
      <w:r>
        <w:t xml:space="preserve">ikviidsus- ja lühiajaliste võlgnevuste finantssuhtarvud on head, mis annavad kinnitust sellest, et järgneva 12 kuu jooksul suudetakse </w:t>
      </w:r>
      <w:r w:rsidR="0070006D">
        <w:t>täita oma kohustusi kreeditoride ees ning</w:t>
      </w:r>
      <w:r>
        <w:t xml:space="preserve"> teenindada võetud laene. </w:t>
      </w:r>
      <w:r w:rsidR="00702FB3">
        <w:t xml:space="preserve">Tallinna linna </w:t>
      </w:r>
      <w:r>
        <w:t xml:space="preserve">likviidsuskordaja 31.12.2016 seisuga oli </w:t>
      </w:r>
      <w:r w:rsidR="0070006D">
        <w:t xml:space="preserve">1,15 </w:t>
      </w:r>
      <w:r w:rsidR="00E36AF0">
        <w:t>ja</w:t>
      </w:r>
      <w:r>
        <w:t xml:space="preserve"> lühiajaliste võlgnevuste kattekordaja</w:t>
      </w:r>
      <w:r w:rsidR="0070006D">
        <w:t xml:space="preserve"> 1,28. L</w:t>
      </w:r>
      <w:r w:rsidR="001C726E">
        <w:t xml:space="preserve">inna konsolideerimisgrupil oli </w:t>
      </w:r>
      <w:r w:rsidR="00C21F5F">
        <w:t>likviidsuskordaja</w:t>
      </w:r>
      <w:r w:rsidR="00FB2037">
        <w:t xml:space="preserve"> </w:t>
      </w:r>
      <w:r w:rsidR="00C21F5F">
        <w:t>1,02 ja lühiajaliste võlgnevuste kattekordaja 1,29</w:t>
      </w:r>
      <w:r w:rsidR="0070006D">
        <w:t xml:space="preserve">. </w:t>
      </w:r>
      <w:r w:rsidR="00E5007B">
        <w:t>2016. aasta lõpu seisuga oli linna netovõlakoormus 187 miljonit eurot (2015: 201</w:t>
      </w:r>
      <w:r w:rsidR="0070006D">
        <w:t> </w:t>
      </w:r>
      <w:r w:rsidR="00E5007B">
        <w:t>miljonit eurot) ning netovõlakoormus põhitegevuse tuludest 33,9% (2015: 39,6%). Linna konsolideerimisgrupi netovõlakoormus oli 226 miljonit eurot</w:t>
      </w:r>
      <w:r w:rsidR="0070006D">
        <w:t xml:space="preserve"> (201</w:t>
      </w:r>
      <w:r w:rsidR="00B778F9">
        <w:t>5</w:t>
      </w:r>
      <w:r w:rsidR="0070006D">
        <w:t>:</w:t>
      </w:r>
      <w:r w:rsidR="00B778F9">
        <w:t> </w:t>
      </w:r>
      <w:r w:rsidR="0070006D">
        <w:t>267 miljonit eurot)</w:t>
      </w:r>
      <w:r w:rsidR="00E5007B">
        <w:t xml:space="preserve"> ning netovõlakoormus põhitegevuse tuludest 30,2% (2015:  38,3%).</w:t>
      </w:r>
    </w:p>
    <w:p w:rsidR="00AA1494" w:rsidRDefault="006F3129" w:rsidP="007E11B8">
      <w:pPr>
        <w:pStyle w:val="BodyText"/>
        <w:spacing w:after="120"/>
      </w:pPr>
      <w:r w:rsidRPr="00816117">
        <w:t>Linna finantsinformatsioon</w:t>
      </w:r>
      <w:r>
        <w:t>i</w:t>
      </w:r>
      <w:r w:rsidRPr="00816117">
        <w:t xml:space="preserve"> ja laiemalt kogu finantshaldus</w:t>
      </w:r>
      <w:r>
        <w:t>e väga heast</w:t>
      </w:r>
      <w:r w:rsidRPr="00816117">
        <w:t xml:space="preserve"> taseme</w:t>
      </w:r>
      <w:r>
        <w:t>st annab tunnistust ka R</w:t>
      </w:r>
      <w:r w:rsidRPr="00816117">
        <w:t xml:space="preserve">eitinguagentuuri </w:t>
      </w:r>
      <w:proofErr w:type="spellStart"/>
      <w:r w:rsidRPr="00816117">
        <w:t>Fitch</w:t>
      </w:r>
      <w:proofErr w:type="spellEnd"/>
      <w:r w:rsidRPr="00816117">
        <w:t xml:space="preserve"> poolt 2016. aastal linnale omistatud krediidireiting, mis jäi senisele kõrgele tasemele A ning </w:t>
      </w:r>
      <w:r w:rsidR="001C726E">
        <w:t xml:space="preserve">mille </w:t>
      </w:r>
      <w:r w:rsidRPr="00816117">
        <w:t>väljavaade</w:t>
      </w:r>
      <w:r w:rsidR="00A0621E">
        <w:t>t</w:t>
      </w:r>
      <w:r w:rsidRPr="00816117">
        <w:t xml:space="preserve"> </w:t>
      </w:r>
      <w:r w:rsidR="00A0621E">
        <w:t>tõste</w:t>
      </w:r>
      <w:r w:rsidRPr="00816117">
        <w:t xml:space="preserve">ti </w:t>
      </w:r>
      <w:r w:rsidR="00A0621E">
        <w:t xml:space="preserve">stabiilsest </w:t>
      </w:r>
      <w:r w:rsidRPr="00816117">
        <w:t>positiivseks.</w:t>
      </w:r>
    </w:p>
    <w:p w:rsidR="00E5007B" w:rsidRDefault="00E5007B">
      <w:pPr>
        <w:jc w:val="left"/>
      </w:pPr>
      <w:r>
        <w:br w:type="page"/>
      </w:r>
    </w:p>
    <w:p w:rsidR="00F66443" w:rsidRDefault="00F66443" w:rsidP="00AB034D">
      <w:pPr>
        <w:pStyle w:val="BodyText"/>
        <w:spacing w:after="120"/>
        <w:ind w:left="720"/>
      </w:pPr>
    </w:p>
    <w:p w:rsidR="00D6600D" w:rsidRPr="006A6121" w:rsidRDefault="005D5F87" w:rsidP="007E11B8">
      <w:pPr>
        <w:pStyle w:val="BodyText"/>
        <w:spacing w:after="120"/>
        <w:rPr>
          <w:b/>
        </w:rPr>
      </w:pPr>
      <w:r>
        <w:rPr>
          <w:b/>
        </w:rPr>
        <w:t xml:space="preserve">Tallinna </w:t>
      </w:r>
      <w:r w:rsidR="00386C49">
        <w:rPr>
          <w:b/>
        </w:rPr>
        <w:t xml:space="preserve">linna </w:t>
      </w:r>
      <w:r>
        <w:rPr>
          <w:b/>
        </w:rPr>
        <w:t>k</w:t>
      </w:r>
      <w:r w:rsidR="00D6600D" w:rsidRPr="006A6121">
        <w:rPr>
          <w:b/>
        </w:rPr>
        <w:t>onsolideeri</w:t>
      </w:r>
      <w:r w:rsidR="006610A0">
        <w:rPr>
          <w:b/>
        </w:rPr>
        <w:t>misgrupi</w:t>
      </w:r>
      <w:r w:rsidR="00D6600D" w:rsidRPr="006A6121">
        <w:rPr>
          <w:b/>
        </w:rPr>
        <w:t xml:space="preserve"> raamatupidamise aastaaruanne</w:t>
      </w:r>
    </w:p>
    <w:p w:rsidR="00D6600D" w:rsidRPr="004E4B75" w:rsidRDefault="006610A0" w:rsidP="007E11B8">
      <w:pPr>
        <w:pStyle w:val="BodyText"/>
        <w:spacing w:after="120"/>
        <w:rPr>
          <w:i/>
          <w:u w:val="single"/>
        </w:rPr>
      </w:pPr>
      <w:r>
        <w:rPr>
          <w:i/>
          <w:u w:val="single"/>
        </w:rPr>
        <w:t>Tallinna linna</w:t>
      </w:r>
      <w:r w:rsidR="00D6600D" w:rsidRPr="004E4B75">
        <w:rPr>
          <w:i/>
          <w:u w:val="single"/>
        </w:rPr>
        <w:t xml:space="preserve"> konsolideerimisgrupi bilansimaht, netovara ja tulem</w:t>
      </w:r>
    </w:p>
    <w:p w:rsidR="0070006D" w:rsidRDefault="006610A0" w:rsidP="007E11B8">
      <w:pPr>
        <w:pStyle w:val="BodyText"/>
        <w:spacing w:after="120"/>
      </w:pPr>
      <w:r>
        <w:t>S</w:t>
      </w:r>
      <w:r w:rsidR="00D6600D">
        <w:t xml:space="preserve">eisuga 31.12.2016 oli </w:t>
      </w:r>
      <w:r w:rsidR="00E5007B">
        <w:t xml:space="preserve">linna konsolideerimisgrupi </w:t>
      </w:r>
      <w:r>
        <w:t xml:space="preserve">bilansimaht </w:t>
      </w:r>
      <w:r w:rsidR="006A6121">
        <w:t>1,48 miljardit eurot ja netovara 1</w:t>
      </w:r>
      <w:r w:rsidR="006F3129">
        <w:t>,05</w:t>
      </w:r>
      <w:r w:rsidR="006A6121">
        <w:t> miljard</w:t>
      </w:r>
      <w:r w:rsidR="006F3129">
        <w:t>it</w:t>
      </w:r>
      <w:r w:rsidR="006A6121">
        <w:t xml:space="preserve"> eurot. Aruandeaasta tegevustulud olid 761 miljonit eurot</w:t>
      </w:r>
      <w:r w:rsidR="00E5007B">
        <w:t xml:space="preserve"> ja</w:t>
      </w:r>
      <w:r w:rsidR="006A6121">
        <w:t xml:space="preserve"> tegevuskulud 726</w:t>
      </w:r>
      <w:r w:rsidR="00E5007B">
        <w:t> </w:t>
      </w:r>
      <w:r w:rsidR="006A6121">
        <w:t xml:space="preserve">miljonit eurot. </w:t>
      </w:r>
      <w:r w:rsidR="00E5007B">
        <w:t>Linna konsolideerimisgrupi tulemiks 2016. aastal kujunes 35 miljonit eurot</w:t>
      </w:r>
      <w:r w:rsidR="0070006D">
        <w:t>.</w:t>
      </w:r>
      <w:r w:rsidR="00E5007B">
        <w:t xml:space="preserve"> </w:t>
      </w:r>
    </w:p>
    <w:p w:rsidR="00706159" w:rsidRPr="00A61EAE" w:rsidRDefault="004F3C3E" w:rsidP="007E11B8">
      <w:pPr>
        <w:pStyle w:val="BodyText"/>
        <w:spacing w:after="120"/>
        <w:rPr>
          <w:i/>
          <w:u w:val="single"/>
        </w:rPr>
      </w:pPr>
      <w:r>
        <w:rPr>
          <w:i/>
          <w:u w:val="single"/>
        </w:rPr>
        <w:t>Tallinna l</w:t>
      </w:r>
      <w:r w:rsidR="00706159" w:rsidRPr="00A61EAE">
        <w:rPr>
          <w:i/>
          <w:u w:val="single"/>
        </w:rPr>
        <w:t>inna bilansimaht, netovara ja tulem</w:t>
      </w:r>
    </w:p>
    <w:p w:rsidR="00157B7A" w:rsidRDefault="004F3C3E" w:rsidP="007E11B8">
      <w:pPr>
        <w:pStyle w:val="BodyText"/>
        <w:spacing w:after="120"/>
      </w:pPr>
      <w:r>
        <w:t>S</w:t>
      </w:r>
      <w:r w:rsidR="00640CB8">
        <w:t xml:space="preserve">eisuga 31.12.2016 oli </w:t>
      </w:r>
      <w:r w:rsidR="006B5231">
        <w:t xml:space="preserve">linna </w:t>
      </w:r>
      <w:r>
        <w:t xml:space="preserve">bilansimaht </w:t>
      </w:r>
      <w:r w:rsidR="00640CB8">
        <w:t>1,19</w:t>
      </w:r>
      <w:r w:rsidR="00706159">
        <w:t xml:space="preserve"> miljardit eurot ja netovara </w:t>
      </w:r>
      <w:r w:rsidR="00640CB8">
        <w:t>873</w:t>
      </w:r>
      <w:r w:rsidR="00706159">
        <w:t xml:space="preserve"> miljonit eurot. </w:t>
      </w:r>
      <w:r w:rsidR="00E5007B">
        <w:t>Linna tulemiks 2016. aastal kujunes 14 miljonit</w:t>
      </w:r>
      <w:r w:rsidR="0070006D">
        <w:t xml:space="preserve"> eurot</w:t>
      </w:r>
      <w:r w:rsidR="00E5007B">
        <w:t>.</w:t>
      </w:r>
    </w:p>
    <w:p w:rsidR="00BB3E3F" w:rsidRDefault="00A0621E">
      <w:pPr>
        <w:pStyle w:val="BodyText"/>
        <w:spacing w:after="120"/>
      </w:pPr>
      <w:r>
        <w:t xml:space="preserve">Linna </w:t>
      </w:r>
      <w:r w:rsidR="00F93DA2" w:rsidRPr="00E711F4">
        <w:t xml:space="preserve">2016. aasta </w:t>
      </w:r>
      <w:r w:rsidR="00F93DA2" w:rsidRPr="006B5231">
        <w:t xml:space="preserve">tegevustulud olid kokku </w:t>
      </w:r>
      <w:r w:rsidR="00F93DA2" w:rsidRPr="006B5231">
        <w:rPr>
          <w:szCs w:val="16"/>
        </w:rPr>
        <w:t xml:space="preserve">554 miljonit eurot, millest maksutulud moodustasid 69,3%, saadud toetused </w:t>
      </w:r>
      <w:r w:rsidR="006B5231" w:rsidRPr="00AB034D">
        <w:rPr>
          <w:szCs w:val="16"/>
        </w:rPr>
        <w:t>16,4</w:t>
      </w:r>
      <w:r w:rsidR="00F93DA2" w:rsidRPr="006B5231">
        <w:rPr>
          <w:szCs w:val="16"/>
        </w:rPr>
        <w:t xml:space="preserve">%, tulu kaupade ja teenuste müügist ning muud tulud (sh põhivara müük) kokku </w:t>
      </w:r>
      <w:r w:rsidR="006B5231" w:rsidRPr="00AB034D">
        <w:rPr>
          <w:szCs w:val="16"/>
        </w:rPr>
        <w:t>14,3</w:t>
      </w:r>
      <w:r w:rsidR="00F93DA2" w:rsidRPr="006B5231">
        <w:rPr>
          <w:szCs w:val="16"/>
        </w:rPr>
        <w:t>%. Tegevustulud kasvasid võrreldes eelneva aastaga 39 miljonit eurot</w:t>
      </w:r>
      <w:r w:rsidR="00183632">
        <w:rPr>
          <w:szCs w:val="16"/>
        </w:rPr>
        <w:t xml:space="preserve"> ehk 7,5%</w:t>
      </w:r>
      <w:r w:rsidR="00F93DA2" w:rsidRPr="006B5231">
        <w:rPr>
          <w:szCs w:val="16"/>
        </w:rPr>
        <w:t>, samal ajal kui tegevuskulud suurenesid</w:t>
      </w:r>
      <w:r w:rsidR="00F93DA2">
        <w:rPr>
          <w:szCs w:val="16"/>
        </w:rPr>
        <w:t xml:space="preserve"> 12 miljonit eurot</w:t>
      </w:r>
      <w:r w:rsidR="00183632">
        <w:rPr>
          <w:szCs w:val="16"/>
        </w:rPr>
        <w:t xml:space="preserve"> ehk 2,3%</w:t>
      </w:r>
      <w:r w:rsidR="00F93DA2">
        <w:rPr>
          <w:szCs w:val="16"/>
        </w:rPr>
        <w:t xml:space="preserve">. </w:t>
      </w:r>
      <w:r w:rsidR="00F93DA2">
        <w:t>Tegevustulude s</w:t>
      </w:r>
      <w:r w:rsidR="00A5137A" w:rsidRPr="00E711F4">
        <w:t xml:space="preserve">uurim muutus </w:t>
      </w:r>
      <w:r w:rsidR="00F93DA2">
        <w:t xml:space="preserve">toimus </w:t>
      </w:r>
      <w:r w:rsidR="00A5137A" w:rsidRPr="00E711F4">
        <w:t xml:space="preserve">maksutuludes – võrreldes 2015. aastaga </w:t>
      </w:r>
      <w:r w:rsidR="000478F1" w:rsidRPr="00E711F4">
        <w:t xml:space="preserve">suurenesid </w:t>
      </w:r>
      <w:r w:rsidR="00F93DA2">
        <w:t>maksutulud</w:t>
      </w:r>
      <w:r w:rsidR="00F93DA2" w:rsidRPr="00E711F4">
        <w:t xml:space="preserve"> </w:t>
      </w:r>
      <w:r w:rsidR="000478F1" w:rsidRPr="00E711F4">
        <w:t>2</w:t>
      </w:r>
      <w:r w:rsidR="00BE171B" w:rsidRPr="00E711F4">
        <w:t>6</w:t>
      </w:r>
      <w:r w:rsidR="00A5137A" w:rsidRPr="00E711F4">
        <w:t> miljoni euro võrra</w:t>
      </w:r>
      <w:r w:rsidR="006C4A1D">
        <w:t xml:space="preserve"> (kasv</w:t>
      </w:r>
      <w:r w:rsidR="003869ED">
        <w:t xml:space="preserve"> </w:t>
      </w:r>
      <w:r w:rsidR="006C4A1D">
        <w:t> </w:t>
      </w:r>
      <w:r w:rsidR="003869ED">
        <w:t>7,4%</w:t>
      </w:r>
      <w:r w:rsidR="00CF382E">
        <w:t>)</w:t>
      </w:r>
      <w:r w:rsidR="00A5137A" w:rsidRPr="00E711F4">
        <w:t>.</w:t>
      </w:r>
    </w:p>
    <w:p w:rsidR="00E36AF0" w:rsidRDefault="00A5137A" w:rsidP="00A5137A">
      <w:pPr>
        <w:pStyle w:val="BodyText"/>
        <w:spacing w:after="120"/>
      </w:pPr>
      <w:r w:rsidRPr="000842D7">
        <w:t>Linna tegevuskul</w:t>
      </w:r>
      <w:r w:rsidR="00EE3796" w:rsidRPr="000842D7">
        <w:t>ud olid kokku 54</w:t>
      </w:r>
      <w:r w:rsidR="008B3271" w:rsidRPr="000842D7">
        <w:t>1</w:t>
      </w:r>
      <w:r w:rsidRPr="000842D7">
        <w:t xml:space="preserve"> miljonit eurot, millest</w:t>
      </w:r>
      <w:r w:rsidR="00EE3796" w:rsidRPr="000842D7">
        <w:t xml:space="preserve"> tööjõukulud moodustasid </w:t>
      </w:r>
      <w:r w:rsidR="008B3271" w:rsidRPr="000842D7">
        <w:t>39</w:t>
      </w:r>
      <w:r w:rsidRPr="000842D7">
        <w:t>%, põhivara amortis</w:t>
      </w:r>
      <w:r w:rsidR="00EE3796" w:rsidRPr="000842D7">
        <w:t>atsioon 8,9%, antud toetused 19,</w:t>
      </w:r>
      <w:r w:rsidR="008B3271" w:rsidRPr="000842D7">
        <w:t>2</w:t>
      </w:r>
      <w:r w:rsidR="00EE3796" w:rsidRPr="000842D7">
        <w:t>% ning muud tegevuskulud 32,9</w:t>
      </w:r>
      <w:r w:rsidRPr="000842D7">
        <w:t>%. Võrreldes 2015.</w:t>
      </w:r>
      <w:r w:rsidR="00F93DA2">
        <w:t> </w:t>
      </w:r>
      <w:r w:rsidRPr="000842D7">
        <w:t xml:space="preserve">aastaga </w:t>
      </w:r>
      <w:r w:rsidR="007D4766" w:rsidRPr="000842D7">
        <w:t>suurenesid tegevuskulud 2,3% ehk 12</w:t>
      </w:r>
      <w:r w:rsidR="00F66443">
        <w:t> </w:t>
      </w:r>
      <w:r w:rsidRPr="000842D7">
        <w:t>miljoni euro võrra</w:t>
      </w:r>
      <w:r w:rsidR="00E36AF0">
        <w:t xml:space="preserve">. Enim kasvasid </w:t>
      </w:r>
      <w:r w:rsidR="00F66443">
        <w:t>tööjõukulud – kokku enam kui 15 miljonit eurot.</w:t>
      </w:r>
    </w:p>
    <w:p w:rsidR="00A0621E" w:rsidRDefault="00A0621E" w:rsidP="00A0621E">
      <w:pPr>
        <w:pStyle w:val="BodyText"/>
        <w:spacing w:after="120"/>
      </w:pPr>
      <w:r>
        <w:rPr>
          <w:rFonts w:eastAsia="Calibri"/>
        </w:rPr>
        <w:t xml:space="preserve">Suurimad investeeringuobjektid 2016. aastal </w:t>
      </w:r>
      <w:r w:rsidRPr="00F66443">
        <w:rPr>
          <w:rFonts w:eastAsia="Calibri"/>
        </w:rPr>
        <w:t>olid</w:t>
      </w:r>
      <w:r>
        <w:rPr>
          <w:rFonts w:eastAsia="Calibri"/>
        </w:rPr>
        <w:t>:</w:t>
      </w:r>
      <w:r w:rsidRPr="00F6644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F66443">
        <w:rPr>
          <w:rFonts w:eastAsia="Calibri"/>
        </w:rPr>
        <w:t>anal</w:t>
      </w:r>
      <w:r>
        <w:rPr>
          <w:rFonts w:eastAsia="Calibri"/>
        </w:rPr>
        <w:t>inna teed ja rajatised (arvele võetud bilanssi) summas 2,5 miljonit</w:t>
      </w:r>
      <w:r w:rsidRPr="00F66443">
        <w:rPr>
          <w:rFonts w:eastAsia="Calibri"/>
        </w:rPr>
        <w:t xml:space="preserve"> eurot, Majaka tn ehitus summas 2</w:t>
      </w:r>
      <w:r>
        <w:rPr>
          <w:rFonts w:eastAsia="Calibri"/>
        </w:rPr>
        <w:t xml:space="preserve">,1 miljonit </w:t>
      </w:r>
      <w:r w:rsidRPr="00F66443">
        <w:rPr>
          <w:rFonts w:eastAsia="Calibri"/>
        </w:rPr>
        <w:t>euro</w:t>
      </w:r>
      <w:r>
        <w:rPr>
          <w:rFonts w:eastAsia="Calibri"/>
        </w:rPr>
        <w:t>t, Paldiski mnt ehitus summas 1,</w:t>
      </w:r>
      <w:r w:rsidRPr="00F66443">
        <w:rPr>
          <w:rFonts w:eastAsia="Calibri"/>
        </w:rPr>
        <w:t>6</w:t>
      </w:r>
      <w:r>
        <w:rPr>
          <w:rFonts w:eastAsia="Calibri"/>
        </w:rPr>
        <w:t> miljonit</w:t>
      </w:r>
      <w:r w:rsidRPr="00F66443">
        <w:rPr>
          <w:rFonts w:eastAsia="Calibri"/>
        </w:rPr>
        <w:t xml:space="preserve"> eurot, kiirabi hoone Re</w:t>
      </w:r>
      <w:r>
        <w:rPr>
          <w:rFonts w:eastAsia="Calibri"/>
        </w:rPr>
        <w:t xml:space="preserve">tke tee 1 juurdeehitus summas 1,4 miljonit </w:t>
      </w:r>
      <w:r w:rsidRPr="00F66443">
        <w:rPr>
          <w:rFonts w:eastAsia="Calibri"/>
        </w:rPr>
        <w:t xml:space="preserve">eurot ning Tondiloo </w:t>
      </w:r>
      <w:r>
        <w:rPr>
          <w:rFonts w:eastAsia="Calibri"/>
        </w:rPr>
        <w:t>park</w:t>
      </w:r>
      <w:r w:rsidRPr="00F66443">
        <w:rPr>
          <w:rFonts w:eastAsia="Calibri"/>
        </w:rPr>
        <w:t xml:space="preserve"> summas 1</w:t>
      </w:r>
      <w:r>
        <w:rPr>
          <w:rFonts w:eastAsia="Calibri"/>
        </w:rPr>
        <w:t> miljon</w:t>
      </w:r>
      <w:r w:rsidRPr="00F66443">
        <w:rPr>
          <w:rFonts w:eastAsia="Calibri"/>
        </w:rPr>
        <w:t xml:space="preserve"> eurot</w:t>
      </w:r>
      <w:r>
        <w:rPr>
          <w:rFonts w:eastAsia="Calibri"/>
        </w:rPr>
        <w:t>.</w:t>
      </w:r>
    </w:p>
    <w:p w:rsidR="00E36AF0" w:rsidRDefault="00E36AF0" w:rsidP="00E36AF0">
      <w:pPr>
        <w:pStyle w:val="BodyText"/>
        <w:spacing w:after="120"/>
        <w:rPr>
          <w:b/>
        </w:rPr>
      </w:pPr>
    </w:p>
    <w:p w:rsidR="0088173B" w:rsidRPr="00A446BB" w:rsidRDefault="0088173B" w:rsidP="00A5137A">
      <w:pPr>
        <w:pStyle w:val="BodyText"/>
        <w:spacing w:after="120"/>
        <w:rPr>
          <w:b/>
        </w:rPr>
      </w:pPr>
      <w:r w:rsidRPr="00A446BB">
        <w:rPr>
          <w:b/>
        </w:rPr>
        <w:t>Vandeaudiitori aruanne</w:t>
      </w:r>
    </w:p>
    <w:p w:rsidR="0088173B" w:rsidRDefault="0088173B" w:rsidP="00A5137A">
      <w:pPr>
        <w:pStyle w:val="BodyText"/>
        <w:spacing w:after="120"/>
      </w:pPr>
      <w:r>
        <w:t>Tallinna Linnavolikogu 18.</w:t>
      </w:r>
      <w:r w:rsidR="00BF0860">
        <w:t xml:space="preserve"> septembri </w:t>
      </w:r>
      <w:r>
        <w:t>2014 otsusega number 137 „Audiitori määramine Tallinna linna 2014. - 2016.</w:t>
      </w:r>
      <w:r w:rsidR="00C10E94">
        <w:t> a</w:t>
      </w:r>
      <w:r>
        <w:t xml:space="preserve"> konsolideeritud raamatupidamise aastaaruande auditeerimiseks ja konsultatsiooniteenuste osutamiseks“</w:t>
      </w:r>
      <w:r w:rsidR="00A4171F">
        <w:t xml:space="preserve"> </w:t>
      </w:r>
      <w:r>
        <w:t xml:space="preserve">määrati linnale audiitorteenuse osutajaks KPMG </w:t>
      </w:r>
      <w:proofErr w:type="spellStart"/>
      <w:r>
        <w:t>Baltics</w:t>
      </w:r>
      <w:proofErr w:type="spellEnd"/>
      <w:r>
        <w:t xml:space="preserve"> OÜ. KPMG </w:t>
      </w:r>
      <w:proofErr w:type="spellStart"/>
      <w:r>
        <w:t>Baltics</w:t>
      </w:r>
      <w:proofErr w:type="spellEnd"/>
      <w:r>
        <w:t xml:space="preserve"> OÜ esitas linna juhtkonnale </w:t>
      </w:r>
      <w:r w:rsidR="00A4171F">
        <w:t>8.</w:t>
      </w:r>
      <w:r>
        <w:t xml:space="preserve"> mail 2017 Tallinna linna 2016. </w:t>
      </w:r>
      <w:r w:rsidR="00C10E94">
        <w:t>a</w:t>
      </w:r>
      <w:r>
        <w:t>asta konsolideeritud raamatupidamise aastaaruande auditeerimise tulemusena koostatud vandeaudiitori aruande, milles märkis järgmist:</w:t>
      </w:r>
    </w:p>
    <w:p w:rsidR="0088173B" w:rsidRPr="00C10E94" w:rsidRDefault="0088173B" w:rsidP="00A5137A">
      <w:pPr>
        <w:pStyle w:val="BodyText"/>
        <w:spacing w:after="120"/>
        <w:rPr>
          <w:i/>
        </w:rPr>
      </w:pPr>
      <w:r w:rsidRPr="00BF126A">
        <w:rPr>
          <w:i/>
        </w:rPr>
        <w:t xml:space="preserve">„Meie arvates kajastab </w:t>
      </w:r>
      <w:r w:rsidR="0047036B">
        <w:rPr>
          <w:i/>
        </w:rPr>
        <w:t>lehekülgedel 65 kuni 119 esitatud</w:t>
      </w:r>
      <w:r w:rsidRPr="00BF126A">
        <w:rPr>
          <w:i/>
        </w:rPr>
        <w:t xml:space="preserve"> konsolideeritud raamatupid</w:t>
      </w:r>
      <w:r w:rsidR="00C10E94" w:rsidRPr="00BF126A">
        <w:rPr>
          <w:i/>
        </w:rPr>
        <w:t>a</w:t>
      </w:r>
      <w:r w:rsidRPr="00BF126A">
        <w:rPr>
          <w:i/>
        </w:rPr>
        <w:t xml:space="preserve">mise aastaaruanne kõigis olulistes osades õiglaselt </w:t>
      </w:r>
      <w:r w:rsidR="0047036B">
        <w:rPr>
          <w:i/>
        </w:rPr>
        <w:t>konsolideerimis</w:t>
      </w:r>
      <w:r w:rsidRPr="00BF126A">
        <w:rPr>
          <w:i/>
        </w:rPr>
        <w:t xml:space="preserve">grupi </w:t>
      </w:r>
      <w:r w:rsidR="0047036B">
        <w:rPr>
          <w:i/>
        </w:rPr>
        <w:t xml:space="preserve">konsolideeritud </w:t>
      </w:r>
      <w:r w:rsidRPr="00BF126A">
        <w:rPr>
          <w:i/>
        </w:rPr>
        <w:t xml:space="preserve">finantsseisundit seisuga 31. </w:t>
      </w:r>
      <w:r w:rsidR="00C10E94" w:rsidRPr="00BF126A">
        <w:rPr>
          <w:i/>
        </w:rPr>
        <w:t>d</w:t>
      </w:r>
      <w:r w:rsidRPr="00BF126A">
        <w:rPr>
          <w:i/>
        </w:rPr>
        <w:t>etsember</w:t>
      </w:r>
      <w:r w:rsidR="00C10E94" w:rsidRPr="00BF126A">
        <w:rPr>
          <w:i/>
        </w:rPr>
        <w:t xml:space="preserve"> </w:t>
      </w:r>
      <w:r w:rsidRPr="00BF126A">
        <w:rPr>
          <w:i/>
        </w:rPr>
        <w:t>2016 ning sellel kuupäeval lõppenud majandusaasta konsolideeritud finantstulemust</w:t>
      </w:r>
      <w:r w:rsidR="0047036B">
        <w:rPr>
          <w:i/>
        </w:rPr>
        <w:t xml:space="preserve"> ja</w:t>
      </w:r>
      <w:r w:rsidRPr="00BF126A">
        <w:rPr>
          <w:i/>
        </w:rPr>
        <w:t xml:space="preserve"> konsolideeritud rahavoogusid kooskõlas Eesti </w:t>
      </w:r>
      <w:r w:rsidR="0047036B">
        <w:rPr>
          <w:i/>
        </w:rPr>
        <w:t>hea raamatupidamistavaga</w:t>
      </w:r>
      <w:r w:rsidRPr="00BF126A">
        <w:rPr>
          <w:i/>
        </w:rPr>
        <w:t>.“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21320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88173B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Taavi Aas</w:t>
            </w:r>
          </w:p>
        </w:tc>
      </w:tr>
      <w:tr w:rsidR="0021320C">
        <w:trPr>
          <w:cantSplit/>
        </w:trPr>
        <w:tc>
          <w:tcPr>
            <w:tcW w:w="9741" w:type="dxa"/>
          </w:tcPr>
          <w:p w:rsidR="0021320C" w:rsidRDefault="0088173B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Abilinnapea linnapea ülesannetes</w:t>
            </w:r>
          </w:p>
        </w:tc>
      </w:tr>
    </w:tbl>
    <w:p w:rsidR="0021320C" w:rsidRDefault="00310B2A" w:rsidP="00C977BA">
      <w:pPr>
        <w:pStyle w:val="BodyText"/>
        <w:spacing w:after="12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4C8E17A4" wp14:editId="022DCC7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596890" cy="423545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49E1" w:rsidRDefault="00D249E1">
                            <w:pPr>
                              <w:pStyle w:val="BodyText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Koostaja: </w:t>
                            </w:r>
                            <w:r w:rsidR="00C10E94">
                              <w:rPr>
                                <w:noProof/>
                              </w:rPr>
                              <w:t>Kaja Vahar, 640 4126, linna pearaamatupidaja, linna finantsteenistus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0;margin-top:0;width:440.7pt;height:33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" o:allowincell="f" o:allowoverlap="f" stroked="f">
                <v:textbox inset="0,0,0,0">
                  <w:txbxContent>
                    <w:p w:rsidR="00D249E1" w:rsidRDefault="00D249E1">
                      <w:pPr>
                        <w:pStyle w:val="BodyText"/>
                        <w:jc w:val="lef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Koostaja: </w:t>
                      </w:r>
                      <w:r w:rsidR="00C10E94">
                        <w:rPr>
                          <w:noProof/>
                        </w:rPr>
                        <w:t>Kaja Vahar, 640 4126, linna pearaamatupidaja, linna finantsteenistus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1320C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680" w:right="680" w:bottom="510" w:left="1701" w:header="68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BC" w:rsidRDefault="004D56BC">
      <w:r>
        <w:separator/>
      </w:r>
    </w:p>
  </w:endnote>
  <w:endnote w:type="continuationSeparator" w:id="0">
    <w:p w:rsidR="004D56BC" w:rsidRDefault="004D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E1" w:rsidRDefault="00D2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BC" w:rsidRDefault="004D56BC">
      <w:r>
        <w:separator/>
      </w:r>
    </w:p>
  </w:footnote>
  <w:footnote w:type="continuationSeparator" w:id="0">
    <w:p w:rsidR="004D56BC" w:rsidRDefault="004D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E1" w:rsidRDefault="00D2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 w:rsidP="004107B4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49E1" w:rsidRDefault="00D249E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E1" w:rsidRDefault="00D249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49E1" w:rsidRDefault="00D249E1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E1" w:rsidRDefault="00D249E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E1" w:rsidRDefault="00D249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72">
      <w:rPr>
        <w:rStyle w:val="PageNumber"/>
        <w:noProof/>
      </w:rPr>
      <w:t>2</w:t>
    </w:r>
    <w:r>
      <w:rPr>
        <w:rStyle w:val="PageNumber"/>
      </w:rPr>
      <w:fldChar w:fldCharType="end"/>
    </w:r>
  </w:p>
  <w:p w:rsidR="00D249E1" w:rsidRDefault="00D249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CA6271"/>
    <w:multiLevelType w:val="hybridMultilevel"/>
    <w:tmpl w:val="C5AA82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7A1"/>
    <w:multiLevelType w:val="multilevel"/>
    <w:tmpl w:val="73DA15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1E4942"/>
    <w:multiLevelType w:val="hybridMultilevel"/>
    <w:tmpl w:val="5896F0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s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2CE36EF"/>
    <w:multiLevelType w:val="multilevel"/>
    <w:tmpl w:val="357C451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A"/>
    <w:rsid w:val="00000740"/>
    <w:rsid w:val="000478F1"/>
    <w:rsid w:val="000834DF"/>
    <w:rsid w:val="000842D7"/>
    <w:rsid w:val="00092BC2"/>
    <w:rsid w:val="00116EF8"/>
    <w:rsid w:val="00124659"/>
    <w:rsid w:val="00157B7A"/>
    <w:rsid w:val="001736B5"/>
    <w:rsid w:val="00183632"/>
    <w:rsid w:val="001C4E16"/>
    <w:rsid w:val="001C726E"/>
    <w:rsid w:val="001E2BFC"/>
    <w:rsid w:val="001E3B10"/>
    <w:rsid w:val="0021320C"/>
    <w:rsid w:val="0023394F"/>
    <w:rsid w:val="00234ABF"/>
    <w:rsid w:val="00272E67"/>
    <w:rsid w:val="00285FB3"/>
    <w:rsid w:val="002B47DC"/>
    <w:rsid w:val="0030317F"/>
    <w:rsid w:val="00310B2A"/>
    <w:rsid w:val="0032514C"/>
    <w:rsid w:val="0032559B"/>
    <w:rsid w:val="00332C01"/>
    <w:rsid w:val="00372621"/>
    <w:rsid w:val="00377ED9"/>
    <w:rsid w:val="00381C15"/>
    <w:rsid w:val="003869ED"/>
    <w:rsid w:val="00386C49"/>
    <w:rsid w:val="0039402A"/>
    <w:rsid w:val="003A6D1F"/>
    <w:rsid w:val="004106F2"/>
    <w:rsid w:val="004107B4"/>
    <w:rsid w:val="0042448D"/>
    <w:rsid w:val="0047036B"/>
    <w:rsid w:val="004755F1"/>
    <w:rsid w:val="004779B8"/>
    <w:rsid w:val="004D56BC"/>
    <w:rsid w:val="004E4B75"/>
    <w:rsid w:val="004F3C3E"/>
    <w:rsid w:val="0050213F"/>
    <w:rsid w:val="005215F1"/>
    <w:rsid w:val="00560FC6"/>
    <w:rsid w:val="00563394"/>
    <w:rsid w:val="005C6EA3"/>
    <w:rsid w:val="005D3CB1"/>
    <w:rsid w:val="005D5F87"/>
    <w:rsid w:val="005D639A"/>
    <w:rsid w:val="005E1E1E"/>
    <w:rsid w:val="005F1F0C"/>
    <w:rsid w:val="00640CB8"/>
    <w:rsid w:val="006610A0"/>
    <w:rsid w:val="006A6121"/>
    <w:rsid w:val="006B5231"/>
    <w:rsid w:val="006C4A1D"/>
    <w:rsid w:val="006F3129"/>
    <w:rsid w:val="0070006D"/>
    <w:rsid w:val="00702FB3"/>
    <w:rsid w:val="00706159"/>
    <w:rsid w:val="00752B8E"/>
    <w:rsid w:val="007633C5"/>
    <w:rsid w:val="00785896"/>
    <w:rsid w:val="007C03A8"/>
    <w:rsid w:val="007D4766"/>
    <w:rsid w:val="007D746C"/>
    <w:rsid w:val="007E11B8"/>
    <w:rsid w:val="00802FCA"/>
    <w:rsid w:val="008176F0"/>
    <w:rsid w:val="008266DE"/>
    <w:rsid w:val="0085345F"/>
    <w:rsid w:val="0088173B"/>
    <w:rsid w:val="008B3271"/>
    <w:rsid w:val="00944CDB"/>
    <w:rsid w:val="00986BFE"/>
    <w:rsid w:val="00993274"/>
    <w:rsid w:val="009E34E0"/>
    <w:rsid w:val="009F58D9"/>
    <w:rsid w:val="00A0621E"/>
    <w:rsid w:val="00A2076D"/>
    <w:rsid w:val="00A21E90"/>
    <w:rsid w:val="00A34337"/>
    <w:rsid w:val="00A4171F"/>
    <w:rsid w:val="00A41DD4"/>
    <w:rsid w:val="00A446BB"/>
    <w:rsid w:val="00A5137A"/>
    <w:rsid w:val="00A5330F"/>
    <w:rsid w:val="00A61EAE"/>
    <w:rsid w:val="00AA1494"/>
    <w:rsid w:val="00AB034D"/>
    <w:rsid w:val="00AB2ECB"/>
    <w:rsid w:val="00AB6ACD"/>
    <w:rsid w:val="00AC3440"/>
    <w:rsid w:val="00AF211A"/>
    <w:rsid w:val="00B07591"/>
    <w:rsid w:val="00B563DE"/>
    <w:rsid w:val="00B778F9"/>
    <w:rsid w:val="00B91317"/>
    <w:rsid w:val="00BA7616"/>
    <w:rsid w:val="00BB3E3F"/>
    <w:rsid w:val="00BE171B"/>
    <w:rsid w:val="00BF0860"/>
    <w:rsid w:val="00BF126A"/>
    <w:rsid w:val="00C10E94"/>
    <w:rsid w:val="00C21F5F"/>
    <w:rsid w:val="00C514A8"/>
    <w:rsid w:val="00C90440"/>
    <w:rsid w:val="00C973CF"/>
    <w:rsid w:val="00C977BA"/>
    <w:rsid w:val="00CA2E04"/>
    <w:rsid w:val="00CE4585"/>
    <w:rsid w:val="00CF382E"/>
    <w:rsid w:val="00CF4D16"/>
    <w:rsid w:val="00D04AB2"/>
    <w:rsid w:val="00D249E1"/>
    <w:rsid w:val="00D534D8"/>
    <w:rsid w:val="00D56BBB"/>
    <w:rsid w:val="00D6600D"/>
    <w:rsid w:val="00D762A6"/>
    <w:rsid w:val="00DC2A52"/>
    <w:rsid w:val="00E36AF0"/>
    <w:rsid w:val="00E5007B"/>
    <w:rsid w:val="00E65672"/>
    <w:rsid w:val="00E711F4"/>
    <w:rsid w:val="00E739C8"/>
    <w:rsid w:val="00E96A20"/>
    <w:rsid w:val="00EB43C4"/>
    <w:rsid w:val="00EE3796"/>
    <w:rsid w:val="00F13FCD"/>
    <w:rsid w:val="00F173D4"/>
    <w:rsid w:val="00F175F0"/>
    <w:rsid w:val="00F6006D"/>
    <w:rsid w:val="00F66443"/>
    <w:rsid w:val="00F93DA2"/>
    <w:rsid w:val="00FB203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oet">
    <w:name w:val="Loet"/>
    <w:basedOn w:val="BodyText"/>
    <w:pPr>
      <w:numPr>
        <w:numId w:val="7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Lisatekst">
    <w:name w:val="Lisatekst"/>
    <w:basedOn w:val="BodyText"/>
    <w:pPr>
      <w:tabs>
        <w:tab w:val="num" w:pos="360"/>
        <w:tab w:val="left" w:pos="6521"/>
      </w:tabs>
      <w:spacing w:before="120"/>
    </w:pPr>
  </w:style>
  <w:style w:type="paragraph" w:customStyle="1" w:styleId="Lisaloet">
    <w:name w:val="Lisaloet"/>
    <w:basedOn w:val="BodyText"/>
    <w:pPr>
      <w:numPr>
        <w:numId w:val="6"/>
      </w:numPr>
      <w:spacing w:before="120"/>
    </w:pPr>
  </w:style>
  <w:style w:type="paragraph" w:customStyle="1" w:styleId="Body">
    <w:name w:val="Body"/>
    <w:basedOn w:val="BodyText"/>
    <w:pPr>
      <w:numPr>
        <w:ilvl w:val="1"/>
        <w:numId w:val="7"/>
      </w:numPr>
      <w:tabs>
        <w:tab w:val="left" w:pos="6521"/>
      </w:tabs>
    </w:pPr>
  </w:style>
  <w:style w:type="paragraph" w:customStyle="1" w:styleId="Bodys">
    <w:name w:val="Bodys"/>
    <w:basedOn w:val="BodyText"/>
    <w:pPr>
      <w:numPr>
        <w:ilvl w:val="1"/>
        <w:numId w:val="6"/>
      </w:numPr>
    </w:pPr>
  </w:style>
  <w:style w:type="paragraph" w:customStyle="1" w:styleId="otsustati">
    <w:name w:val="otsustati"/>
    <w:basedOn w:val="BodyText"/>
    <w:link w:val="otsustatiChar"/>
    <w:rsid w:val="00C977BA"/>
    <w:pPr>
      <w:tabs>
        <w:tab w:val="left" w:pos="6521"/>
      </w:tabs>
      <w:jc w:val="left"/>
    </w:pPr>
    <w:rPr>
      <w:spacing w:val="40"/>
      <w:szCs w:val="24"/>
    </w:rPr>
  </w:style>
  <w:style w:type="paragraph" w:customStyle="1" w:styleId="Pealk1">
    <w:name w:val="Pealk1"/>
    <w:basedOn w:val="BodyText"/>
    <w:rsid w:val="00C977BA"/>
    <w:pPr>
      <w:tabs>
        <w:tab w:val="left" w:pos="6521"/>
      </w:tabs>
      <w:jc w:val="left"/>
    </w:pPr>
  </w:style>
  <w:style w:type="paragraph" w:customStyle="1" w:styleId="pkpnr">
    <w:name w:val="pkpnr"/>
    <w:basedOn w:val="BodyText"/>
    <w:link w:val="pkpnrChar"/>
    <w:rsid w:val="00C977BA"/>
    <w:pPr>
      <w:tabs>
        <w:tab w:val="left" w:pos="6521"/>
      </w:tabs>
      <w:jc w:val="left"/>
    </w:pPr>
    <w:rPr>
      <w:u w:val="single"/>
    </w:rPr>
  </w:style>
  <w:style w:type="character" w:customStyle="1" w:styleId="pkpnrChar">
    <w:name w:val="pkpnr Char"/>
    <w:link w:val="pkpnr"/>
    <w:rsid w:val="00C977BA"/>
    <w:rPr>
      <w:sz w:val="24"/>
      <w:u w:val="single"/>
      <w:lang w:val="et-EE" w:eastAsia="en-US" w:bidi="ar-SA"/>
    </w:rPr>
  </w:style>
  <w:style w:type="paragraph" w:customStyle="1" w:styleId="Sisu">
    <w:name w:val="Sisu"/>
    <w:basedOn w:val="BodyText"/>
    <w:rsid w:val="00C977BA"/>
    <w:pPr>
      <w:spacing w:after="120"/>
    </w:pPr>
    <w:rPr>
      <w:b/>
      <w:bCs/>
    </w:rPr>
  </w:style>
  <w:style w:type="character" w:customStyle="1" w:styleId="BodyTextChar">
    <w:name w:val="Body Text Char"/>
    <w:link w:val="BodyText"/>
    <w:rsid w:val="00C977BA"/>
    <w:rPr>
      <w:sz w:val="24"/>
      <w:lang w:val="et-EE" w:eastAsia="en-US" w:bidi="ar-SA"/>
    </w:rPr>
  </w:style>
  <w:style w:type="character" w:customStyle="1" w:styleId="otsustatiChar">
    <w:name w:val="otsustati Char"/>
    <w:link w:val="otsustati"/>
    <w:rsid w:val="00C977BA"/>
    <w:rPr>
      <w:spacing w:val="40"/>
      <w:sz w:val="24"/>
      <w:szCs w:val="24"/>
      <w:lang w:val="et-EE" w:eastAsia="en-US" w:bidi="ar-SA"/>
    </w:rPr>
  </w:style>
  <w:style w:type="paragraph" w:styleId="BalloonText">
    <w:name w:val="Balloon Text"/>
    <w:basedOn w:val="Normal"/>
    <w:link w:val="BalloonTextChar"/>
    <w:rsid w:val="0011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E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53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4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34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45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6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oet">
    <w:name w:val="Loet"/>
    <w:basedOn w:val="BodyText"/>
    <w:pPr>
      <w:numPr>
        <w:numId w:val="7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Lisatekst">
    <w:name w:val="Lisatekst"/>
    <w:basedOn w:val="BodyText"/>
    <w:pPr>
      <w:tabs>
        <w:tab w:val="num" w:pos="360"/>
        <w:tab w:val="left" w:pos="6521"/>
      </w:tabs>
      <w:spacing w:before="120"/>
    </w:pPr>
  </w:style>
  <w:style w:type="paragraph" w:customStyle="1" w:styleId="Lisaloet">
    <w:name w:val="Lisaloet"/>
    <w:basedOn w:val="BodyText"/>
    <w:pPr>
      <w:numPr>
        <w:numId w:val="6"/>
      </w:numPr>
      <w:spacing w:before="120"/>
    </w:pPr>
  </w:style>
  <w:style w:type="paragraph" w:customStyle="1" w:styleId="Body">
    <w:name w:val="Body"/>
    <w:basedOn w:val="BodyText"/>
    <w:pPr>
      <w:numPr>
        <w:ilvl w:val="1"/>
        <w:numId w:val="7"/>
      </w:numPr>
      <w:tabs>
        <w:tab w:val="left" w:pos="6521"/>
      </w:tabs>
    </w:pPr>
  </w:style>
  <w:style w:type="paragraph" w:customStyle="1" w:styleId="Bodys">
    <w:name w:val="Bodys"/>
    <w:basedOn w:val="BodyText"/>
    <w:pPr>
      <w:numPr>
        <w:ilvl w:val="1"/>
        <w:numId w:val="6"/>
      </w:numPr>
    </w:pPr>
  </w:style>
  <w:style w:type="paragraph" w:customStyle="1" w:styleId="otsustati">
    <w:name w:val="otsustati"/>
    <w:basedOn w:val="BodyText"/>
    <w:link w:val="otsustatiChar"/>
    <w:rsid w:val="00C977BA"/>
    <w:pPr>
      <w:tabs>
        <w:tab w:val="left" w:pos="6521"/>
      </w:tabs>
      <w:jc w:val="left"/>
    </w:pPr>
    <w:rPr>
      <w:spacing w:val="40"/>
      <w:szCs w:val="24"/>
    </w:rPr>
  </w:style>
  <w:style w:type="paragraph" w:customStyle="1" w:styleId="Pealk1">
    <w:name w:val="Pealk1"/>
    <w:basedOn w:val="BodyText"/>
    <w:rsid w:val="00C977BA"/>
    <w:pPr>
      <w:tabs>
        <w:tab w:val="left" w:pos="6521"/>
      </w:tabs>
      <w:jc w:val="left"/>
    </w:pPr>
  </w:style>
  <w:style w:type="paragraph" w:customStyle="1" w:styleId="pkpnr">
    <w:name w:val="pkpnr"/>
    <w:basedOn w:val="BodyText"/>
    <w:link w:val="pkpnrChar"/>
    <w:rsid w:val="00C977BA"/>
    <w:pPr>
      <w:tabs>
        <w:tab w:val="left" w:pos="6521"/>
      </w:tabs>
      <w:jc w:val="left"/>
    </w:pPr>
    <w:rPr>
      <w:u w:val="single"/>
    </w:rPr>
  </w:style>
  <w:style w:type="character" w:customStyle="1" w:styleId="pkpnrChar">
    <w:name w:val="pkpnr Char"/>
    <w:link w:val="pkpnr"/>
    <w:rsid w:val="00C977BA"/>
    <w:rPr>
      <w:sz w:val="24"/>
      <w:u w:val="single"/>
      <w:lang w:val="et-EE" w:eastAsia="en-US" w:bidi="ar-SA"/>
    </w:rPr>
  </w:style>
  <w:style w:type="paragraph" w:customStyle="1" w:styleId="Sisu">
    <w:name w:val="Sisu"/>
    <w:basedOn w:val="BodyText"/>
    <w:rsid w:val="00C977BA"/>
    <w:pPr>
      <w:spacing w:after="120"/>
    </w:pPr>
    <w:rPr>
      <w:b/>
      <w:bCs/>
    </w:rPr>
  </w:style>
  <w:style w:type="character" w:customStyle="1" w:styleId="BodyTextChar">
    <w:name w:val="Body Text Char"/>
    <w:link w:val="BodyText"/>
    <w:rsid w:val="00C977BA"/>
    <w:rPr>
      <w:sz w:val="24"/>
      <w:lang w:val="et-EE" w:eastAsia="en-US" w:bidi="ar-SA"/>
    </w:rPr>
  </w:style>
  <w:style w:type="character" w:customStyle="1" w:styleId="otsustatiChar">
    <w:name w:val="otsustati Char"/>
    <w:link w:val="otsustati"/>
    <w:rsid w:val="00C977BA"/>
    <w:rPr>
      <w:spacing w:val="40"/>
      <w:sz w:val="24"/>
      <w:szCs w:val="24"/>
      <w:lang w:val="et-EE" w:eastAsia="en-US" w:bidi="ar-SA"/>
    </w:rPr>
  </w:style>
  <w:style w:type="paragraph" w:styleId="BalloonText">
    <w:name w:val="Balloon Text"/>
    <w:basedOn w:val="Normal"/>
    <w:link w:val="BalloonTextChar"/>
    <w:rsid w:val="0011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E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534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4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34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45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6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riigiteataja.ee/akt/128122012005?leiaKeht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igiteataja.ee/akt/123122011008?leiaKehti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riigiteataja.ee/akt/123122011008?leiaKehtiv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iigiteataja.ee/akt/128122012005?leiaKehtiv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nola\AppData\Local\Microsoft\Windows\Temporary%20Internet%20Files\Content.Outlook\LQBDGDCE\istungi%20protokoll%20+%20otsuse%20eelnou%20+%20seletuski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98D-212A-4A07-9EF5-57D69C1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istungi protokoll + otsuse eelnou + seletuskiri.dot</Template>
  <TotalTime>1</TotalTime>
  <Pages>4</Pages>
  <Words>866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Istungi protokoll</vt:lpstr>
    </vt:vector>
  </TitlesOfParts>
  <Company>TTY  Informaatikainstituut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Istungi protokoll</dc:title>
  <dc:creator>Ülle Vennola</dc:creator>
  <cp:lastModifiedBy>Ülle Vennola</cp:lastModifiedBy>
  <cp:revision>2</cp:revision>
  <cp:lastPrinted>2017-04-25T11:23:00Z</cp:lastPrinted>
  <dcterms:created xsi:type="dcterms:W3CDTF">2017-05-16T07:52:00Z</dcterms:created>
  <dcterms:modified xsi:type="dcterms:W3CDTF">2017-05-16T07:52:00Z</dcterms:modified>
</cp:coreProperties>
</file>