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E" w:rsidRPr="004775E1" w:rsidRDefault="00B1020E" w:rsidP="00B1020E">
      <w:pPr>
        <w:rPr>
          <w:b/>
        </w:rPr>
      </w:pPr>
      <w:r w:rsidRPr="004775E1">
        <w:rPr>
          <w:b/>
        </w:rPr>
        <w:t>TOOTE PÜSIANDMED</w:t>
      </w:r>
    </w:p>
    <w:p w:rsidR="00B1020E" w:rsidRPr="004775E1" w:rsidRDefault="00B1020E" w:rsidP="00B1020E"/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1548"/>
        <w:gridCol w:w="1291"/>
        <w:gridCol w:w="689"/>
        <w:gridCol w:w="503"/>
        <w:gridCol w:w="2736"/>
        <w:gridCol w:w="1081"/>
        <w:gridCol w:w="1439"/>
      </w:tblGrid>
      <w:tr w:rsidR="00B1020E" w:rsidRPr="004775E1" w:rsidTr="0026748E"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Toote nimetus</w:t>
            </w:r>
          </w:p>
        </w:tc>
      </w:tr>
      <w:tr w:rsidR="00B1020E" w:rsidRPr="004775E1" w:rsidTr="0026748E"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20E" w:rsidRPr="004775E1" w:rsidRDefault="00B1020E" w:rsidP="0026748E">
            <w:pPr>
              <w:rPr>
                <w:sz w:val="20"/>
              </w:rPr>
            </w:pPr>
            <w:r w:rsidRPr="004775E1">
              <w:rPr>
                <w:sz w:val="20"/>
              </w:rPr>
              <w:t>248 12 01 00 0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20E" w:rsidRPr="0004458D" w:rsidRDefault="00B1020E" w:rsidP="0026748E">
            <w:pPr>
              <w:rPr>
                <w:color w:val="FF0000"/>
              </w:rPr>
            </w:pPr>
            <w:r w:rsidRPr="00D85E8F">
              <w:t>Konverentsiturism</w:t>
            </w:r>
          </w:p>
        </w:tc>
      </w:tr>
      <w:tr w:rsidR="00B1020E" w:rsidRPr="004775E1" w:rsidTr="0026748E">
        <w:trPr>
          <w:trHeight w:val="2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Tootegrupi nimetus</w:t>
            </w:r>
          </w:p>
        </w:tc>
      </w:tr>
      <w:tr w:rsidR="00B1020E" w:rsidRPr="004775E1" w:rsidTr="0026748E">
        <w:trPr>
          <w:trHeight w:val="277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20E" w:rsidRPr="004775E1" w:rsidRDefault="00B1020E" w:rsidP="0026748E">
            <w:pPr>
              <w:rPr>
                <w:sz w:val="20"/>
              </w:rPr>
            </w:pPr>
            <w:r w:rsidRPr="004775E1">
              <w:rPr>
                <w:sz w:val="20"/>
              </w:rPr>
              <w:t xml:space="preserve">248 12 00 </w:t>
            </w:r>
            <w:proofErr w:type="spellStart"/>
            <w:r w:rsidRPr="004775E1">
              <w:rPr>
                <w:sz w:val="20"/>
              </w:rPr>
              <w:t>00</w:t>
            </w:r>
            <w:proofErr w:type="spellEnd"/>
            <w:r w:rsidRPr="004775E1">
              <w:rPr>
                <w:sz w:val="20"/>
              </w:rPr>
              <w:t xml:space="preserve">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20E" w:rsidRPr="004775E1" w:rsidRDefault="00B1020E" w:rsidP="0026748E">
            <w:r w:rsidRPr="004775E1">
              <w:t>Turismi arendamine</w:t>
            </w:r>
          </w:p>
        </w:tc>
      </w:tr>
      <w:tr w:rsidR="00B1020E" w:rsidRPr="004775E1" w:rsidTr="0026748E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Tootevaldkonna nimetus</w:t>
            </w:r>
          </w:p>
        </w:tc>
      </w:tr>
      <w:tr w:rsidR="00B1020E" w:rsidRPr="004775E1" w:rsidTr="0026748E">
        <w:trPr>
          <w:trHeight w:val="277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20E" w:rsidRPr="004775E1" w:rsidRDefault="00B1020E" w:rsidP="0026748E">
            <w:pPr>
              <w:rPr>
                <w:sz w:val="20"/>
              </w:rPr>
            </w:pPr>
            <w:r w:rsidRPr="004775E1">
              <w:rPr>
                <w:sz w:val="20"/>
              </w:rPr>
              <w:t xml:space="preserve">248 00 </w:t>
            </w:r>
            <w:proofErr w:type="spellStart"/>
            <w:r w:rsidRPr="004775E1">
              <w:rPr>
                <w:sz w:val="20"/>
              </w:rPr>
              <w:t>00</w:t>
            </w:r>
            <w:proofErr w:type="spellEnd"/>
            <w:r w:rsidRPr="004775E1">
              <w:rPr>
                <w:sz w:val="20"/>
              </w:rPr>
              <w:t xml:space="preserve"> </w:t>
            </w:r>
            <w:proofErr w:type="spellStart"/>
            <w:r w:rsidRPr="004775E1">
              <w:rPr>
                <w:sz w:val="20"/>
              </w:rPr>
              <w:t>00</w:t>
            </w:r>
            <w:proofErr w:type="spellEnd"/>
            <w:r w:rsidRPr="004775E1">
              <w:rPr>
                <w:sz w:val="20"/>
              </w:rPr>
              <w:t xml:space="preserve">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20E" w:rsidRPr="004775E1" w:rsidRDefault="00B1020E" w:rsidP="0026748E">
            <w:r w:rsidRPr="004775E1">
              <w:t>Ettevõtluskeskkond</w:t>
            </w:r>
          </w:p>
        </w:tc>
      </w:tr>
      <w:tr w:rsidR="00B1020E" w:rsidRPr="004775E1" w:rsidTr="0026748E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Tootevastutaja (ametikoht)</w:t>
            </w:r>
          </w:p>
        </w:tc>
      </w:tr>
      <w:tr w:rsidR="00B1020E" w:rsidRPr="004775E1" w:rsidTr="0026748E">
        <w:trPr>
          <w:trHeight w:val="277"/>
        </w:trPr>
        <w:tc>
          <w:tcPr>
            <w:tcW w:w="403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20E" w:rsidRPr="004775E1" w:rsidRDefault="00B1020E" w:rsidP="0026748E">
            <w:r w:rsidRPr="004775E1">
              <w:t>Tallinna Ettevõtlusamet</w:t>
            </w:r>
          </w:p>
        </w:tc>
        <w:tc>
          <w:tcPr>
            <w:tcW w:w="52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20E" w:rsidRPr="004775E1" w:rsidRDefault="00B1020E" w:rsidP="0026748E">
            <w:r w:rsidRPr="004775E1">
              <w:t>Turismiosakonna</w:t>
            </w:r>
            <w:r>
              <w:t xml:space="preserve"> konverentsiturismi büroo juhtiv</w:t>
            </w:r>
            <w:r w:rsidRPr="004775E1">
              <w:t xml:space="preserve">spetsialist </w:t>
            </w:r>
          </w:p>
        </w:tc>
      </w:tr>
      <w:tr w:rsidR="00B1020E" w:rsidRPr="004775E1" w:rsidTr="0026748E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Toote eesmärk</w:t>
            </w:r>
          </w:p>
        </w:tc>
      </w:tr>
      <w:tr w:rsidR="00B1020E" w:rsidRPr="004775E1" w:rsidTr="0026748E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20E" w:rsidRPr="004775E1" w:rsidRDefault="00B1020E" w:rsidP="0026748E">
            <w:pPr>
              <w:pStyle w:val="Header"/>
            </w:pPr>
            <w:r w:rsidRPr="004775E1">
              <w:t>Tallinn</w:t>
            </w:r>
            <w:r>
              <w:t xml:space="preserve"> kui konverentsiturismi sihtkoht on rahvusvaheliselt tuntud kvaliteetse turismiinfo kättesaadavuse kaudu.</w:t>
            </w:r>
          </w:p>
        </w:tc>
      </w:tr>
      <w:tr w:rsidR="00B1020E" w:rsidRPr="004775E1" w:rsidTr="0026748E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Toote üldine kirjeldus</w:t>
            </w:r>
          </w:p>
        </w:tc>
      </w:tr>
      <w:tr w:rsidR="00B1020E" w:rsidRPr="004775E1" w:rsidTr="0026748E">
        <w:trPr>
          <w:trHeight w:val="1161"/>
        </w:trPr>
        <w:tc>
          <w:tcPr>
            <w:tcW w:w="928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20E" w:rsidRDefault="00B1020E" w:rsidP="0026748E"/>
          <w:p w:rsidR="00B1020E" w:rsidRPr="004775E1" w:rsidRDefault="00B1020E" w:rsidP="0026748E">
            <w:r w:rsidRPr="004775E1">
              <w:t xml:space="preserve">Konverentsiturism on äriturismi sektor, mis hõlmab konverentse, seminare, messe, näitusi, </w:t>
            </w:r>
            <w:r w:rsidRPr="00D85E8F">
              <w:rPr>
                <w:iCs/>
              </w:rPr>
              <w:t>elamusturismi</w:t>
            </w:r>
            <w:r w:rsidRPr="00D85E8F">
              <w:t xml:space="preserve"> </w:t>
            </w:r>
            <w:r w:rsidRPr="004775E1">
              <w:t xml:space="preserve">üritusi jms. Tallinna konverentsiturismi arendamise eesmärgiks on kaasa aidata Tallinna rahvusvahelise tuntuse ja tunnustatuse saavutamisele Läänemereäärse ja Euroopa konverentsiturismi sihtkohana,  soodustada suurte (alates 100 </w:t>
            </w:r>
            <w:proofErr w:type="spellStart"/>
            <w:r w:rsidRPr="004775E1">
              <w:t>in</w:t>
            </w:r>
            <w:proofErr w:type="spellEnd"/>
            <w:r w:rsidRPr="004775E1">
              <w:t xml:space="preserve">) rahvusvaheliste ürituste toimumist Tallinnas, suurendada ärituristide arvu (ka madalhooajal) ja pikendades nende Tallinnas viibimise aega. Konverentsiturismi arendus aitab kaasa turismitulude suurenemisele. </w:t>
            </w:r>
          </w:p>
          <w:p w:rsidR="00B1020E" w:rsidRPr="004775E1" w:rsidRDefault="00B1020E" w:rsidP="0026748E">
            <w:r w:rsidRPr="004775E1">
              <w:rPr>
                <w:u w:val="single"/>
              </w:rPr>
              <w:t>Turundustegevus.</w:t>
            </w:r>
            <w:r w:rsidRPr="004775E1">
              <w:t xml:space="preserve"> </w:t>
            </w:r>
            <w:r>
              <w:t>Tallinna e</w:t>
            </w:r>
            <w:r w:rsidRPr="004775E1">
              <w:t>esmärgiks saada tunnustatud ja atraktiivseks konverentsi</w:t>
            </w:r>
            <w:r>
              <w:t>- ja elamus</w:t>
            </w:r>
            <w:r w:rsidRPr="004775E1">
              <w:t>turismi sihtkohaks Läänemere regioonis</w:t>
            </w:r>
            <w:r>
              <w:t xml:space="preserve">. Selleks </w:t>
            </w:r>
            <w:r w:rsidRPr="004775E1">
              <w:t xml:space="preserve"> on </w:t>
            </w:r>
            <w:r>
              <w:t>oluline tagada</w:t>
            </w:r>
            <w:r w:rsidRPr="004775E1">
              <w:t xml:space="preserve"> aktiivne turundustegevus Euroopa võtmeturgudel, kus asuvad  assotsiatsioonide ja korporatsioonide peakorterid (Saksamaa, Prantsusmaa, Belgia, Inglismaa, Rootsi, Soome</w:t>
            </w:r>
            <w:r>
              <w:t>, Venemaa</w:t>
            </w:r>
            <w:r w:rsidRPr="004775E1">
              <w:t>). Tallinna kui konverentsi</w:t>
            </w:r>
            <w:r>
              <w:t>- ja elamus</w:t>
            </w:r>
            <w:r w:rsidRPr="004775E1">
              <w:t xml:space="preserve">turismi sihtkohta tutvustatakse rahvusvahelistel </w:t>
            </w:r>
            <w:r w:rsidRPr="004775E1">
              <w:rPr>
                <w:bCs/>
              </w:rPr>
              <w:t xml:space="preserve">konverentsiturismi messidel ja </w:t>
            </w:r>
            <w:proofErr w:type="spellStart"/>
            <w:r w:rsidRPr="004775E1">
              <w:rPr>
                <w:bCs/>
                <w:i/>
                <w:iCs/>
              </w:rPr>
              <w:t>workshop`idel</w:t>
            </w:r>
            <w:proofErr w:type="spellEnd"/>
            <w:r w:rsidRPr="004775E1">
              <w:rPr>
                <w:i/>
                <w:iCs/>
              </w:rPr>
              <w:t xml:space="preserve">, </w:t>
            </w:r>
            <w:r w:rsidRPr="004775E1">
              <w:t xml:space="preserve">koostöös </w:t>
            </w:r>
            <w:r>
              <w:t xml:space="preserve">Eesti Konverentsibüroo ja </w:t>
            </w:r>
            <w:r w:rsidRPr="004775E1">
              <w:t xml:space="preserve">erasektoriga korraldatakse konverentsi professionaalidele ja konverentsi ajakirjanikele </w:t>
            </w:r>
            <w:proofErr w:type="spellStart"/>
            <w:r w:rsidRPr="004775E1">
              <w:rPr>
                <w:bCs/>
                <w:i/>
                <w:iCs/>
              </w:rPr>
              <w:t>fam-trip</w:t>
            </w:r>
            <w:r w:rsidRPr="004775E1">
              <w:rPr>
                <w:bCs/>
              </w:rPr>
              <w:t>´e</w:t>
            </w:r>
            <w:proofErr w:type="spellEnd"/>
            <w:r w:rsidRPr="004775E1">
              <w:rPr>
                <w:bCs/>
              </w:rPr>
              <w:t xml:space="preserve"> ja </w:t>
            </w:r>
            <w:proofErr w:type="spellStart"/>
            <w:r w:rsidRPr="004775E1">
              <w:rPr>
                <w:bCs/>
                <w:i/>
                <w:iCs/>
              </w:rPr>
              <w:t>site-inspection</w:t>
            </w:r>
            <w:r w:rsidRPr="004775E1">
              <w:rPr>
                <w:bCs/>
              </w:rPr>
              <w:t>´eid</w:t>
            </w:r>
            <w:proofErr w:type="spellEnd"/>
            <w:r w:rsidRPr="004775E1">
              <w:rPr>
                <w:bCs/>
              </w:rPr>
              <w:t xml:space="preserve"> (reisid Tallinnasse eesmärgiga tutvuda sihtkohaga ja siin pakutavate konkreetsete teenustega)</w:t>
            </w:r>
            <w:r w:rsidRPr="004775E1">
              <w:t xml:space="preserve">. Välja antakse Tallinna konverentsivõimalusi tutvustavaid </w:t>
            </w:r>
            <w:r w:rsidRPr="004775E1">
              <w:rPr>
                <w:bCs/>
              </w:rPr>
              <w:t>trükiseid</w:t>
            </w:r>
            <w:r w:rsidRPr="004775E1">
              <w:t xml:space="preserve">: </w:t>
            </w:r>
            <w:r w:rsidRPr="004775E1">
              <w:rPr>
                <w:i/>
                <w:iCs/>
              </w:rPr>
              <w:t xml:space="preserve">Tallinn </w:t>
            </w:r>
            <w:proofErr w:type="spellStart"/>
            <w:r w:rsidRPr="004775E1">
              <w:rPr>
                <w:i/>
                <w:iCs/>
              </w:rPr>
              <w:t>Conference</w:t>
            </w:r>
            <w:proofErr w:type="spellEnd"/>
            <w:r w:rsidRPr="004775E1">
              <w:rPr>
                <w:i/>
                <w:iCs/>
              </w:rPr>
              <w:t xml:space="preserve"> </w:t>
            </w:r>
            <w:proofErr w:type="spellStart"/>
            <w:r w:rsidRPr="004775E1">
              <w:rPr>
                <w:i/>
                <w:iCs/>
              </w:rPr>
              <w:t>Directory</w:t>
            </w:r>
            <w:proofErr w:type="spellEnd"/>
            <w:r w:rsidRPr="004775E1">
              <w:t xml:space="preserve"> ja </w:t>
            </w:r>
            <w:r w:rsidRPr="004775E1">
              <w:rPr>
                <w:i/>
                <w:iCs/>
              </w:rPr>
              <w:t xml:space="preserve">Tallinn </w:t>
            </w:r>
            <w:proofErr w:type="spellStart"/>
            <w:r w:rsidRPr="004775E1">
              <w:rPr>
                <w:i/>
                <w:iCs/>
              </w:rPr>
              <w:t>Incentive</w:t>
            </w:r>
            <w:proofErr w:type="spellEnd"/>
            <w:r w:rsidRPr="004775E1">
              <w:rPr>
                <w:i/>
                <w:iCs/>
              </w:rPr>
              <w:t>.</w:t>
            </w:r>
          </w:p>
          <w:p w:rsidR="00B1020E" w:rsidRPr="004775E1" w:rsidRDefault="00B1020E" w:rsidP="0026748E">
            <w:pPr>
              <w:rPr>
                <w:bCs/>
              </w:rPr>
            </w:pPr>
            <w:r w:rsidRPr="004775E1">
              <w:t>Info Tallinna kui konverentsi</w:t>
            </w:r>
            <w:r>
              <w:t>- ja elamus</w:t>
            </w:r>
            <w:r w:rsidRPr="004775E1">
              <w:t>turismi</w:t>
            </w:r>
            <w:r>
              <w:t xml:space="preserve"> </w:t>
            </w:r>
            <w:r w:rsidRPr="004775E1">
              <w:t xml:space="preserve">sihtkoha võimaluste kohta on aktualiseeritud kujul olemas </w:t>
            </w:r>
            <w:r w:rsidRPr="004775E1">
              <w:rPr>
                <w:bCs/>
              </w:rPr>
              <w:t xml:space="preserve">Tallinna </w:t>
            </w:r>
            <w:r>
              <w:rPr>
                <w:bCs/>
              </w:rPr>
              <w:t>Turismiportaalis</w:t>
            </w:r>
            <w:r w:rsidRPr="004775E1">
              <w:t xml:space="preserve"> (www.tourism.tallinn.ee). Infot levitatakse ja vahendatakse pidevalt rahvusvahelistele professionaalidele suunatud </w:t>
            </w:r>
            <w:r w:rsidRPr="004775E1">
              <w:rPr>
                <w:bCs/>
              </w:rPr>
              <w:t xml:space="preserve">konverentsi- ja äriturismi ajakirjadele jt väljaannetele. </w:t>
            </w:r>
          </w:p>
          <w:p w:rsidR="00B1020E" w:rsidRDefault="00B1020E" w:rsidP="0026748E">
            <w:pPr>
              <w:rPr>
                <w:u w:val="single"/>
              </w:rPr>
            </w:pPr>
          </w:p>
          <w:p w:rsidR="00B1020E" w:rsidRPr="004775E1" w:rsidRDefault="00B1020E" w:rsidP="0026748E">
            <w:r w:rsidRPr="004775E1">
              <w:rPr>
                <w:u w:val="single"/>
              </w:rPr>
              <w:t>Arendustegevus.</w:t>
            </w:r>
            <w:r w:rsidRPr="004775E1">
              <w:t xml:space="preserve"> Tallinna kui konverentsisihtkoha maine ja usaldusväärsus oleneb paljuski kvaliteetse teenuse pakkumisest ning konverentsisektori koostöövõimest, nii nagu ka võimest pakkuda mitmekesiseid k</w:t>
            </w:r>
            <w:r>
              <w:t xml:space="preserve">onverentsi- ja elamustooteid. </w:t>
            </w:r>
            <w:r w:rsidRPr="004775E1">
              <w:t xml:space="preserve"> </w:t>
            </w:r>
          </w:p>
          <w:p w:rsidR="00B1020E" w:rsidRPr="004775E1" w:rsidRDefault="00B1020E" w:rsidP="0026748E">
            <w:r w:rsidRPr="004775E1">
              <w:t xml:space="preserve">Igapäevaselt toimub </w:t>
            </w:r>
            <w:r w:rsidRPr="004775E1">
              <w:rPr>
                <w:bCs/>
              </w:rPr>
              <w:t>koostöö</w:t>
            </w:r>
            <w:r w:rsidRPr="004775E1">
              <w:t xml:space="preserve"> turismiettevõtjate ja  ürituste korraldajatega. Toimub </w:t>
            </w:r>
            <w:r w:rsidRPr="004775E1">
              <w:rPr>
                <w:bCs/>
              </w:rPr>
              <w:t>infovahetus ja nõustamine</w:t>
            </w:r>
            <w:r w:rsidRPr="004775E1">
              <w:t xml:space="preserve"> rahvusvaheliste trendide ja arengute, kohalike arengute jms teemad</w:t>
            </w:r>
            <w:r>
              <w:t xml:space="preserve">el. Korraldatakse infoseminare ja </w:t>
            </w:r>
            <w:r w:rsidRPr="004775E1">
              <w:t xml:space="preserve">koolitusi. </w:t>
            </w:r>
          </w:p>
          <w:p w:rsidR="00B1020E" w:rsidRDefault="00B1020E" w:rsidP="0026748E">
            <w:r w:rsidRPr="004775E1">
              <w:t xml:space="preserve">Turismiosakond on aktiivne </w:t>
            </w:r>
            <w:proofErr w:type="spellStart"/>
            <w:r w:rsidRPr="00D85E8F">
              <w:rPr>
                <w:i/>
              </w:rPr>
              <w:t>European</w:t>
            </w:r>
            <w:proofErr w:type="spellEnd"/>
            <w:r w:rsidRPr="00D85E8F">
              <w:rPr>
                <w:i/>
              </w:rPr>
              <w:t xml:space="preserve"> </w:t>
            </w:r>
            <w:proofErr w:type="spellStart"/>
            <w:r w:rsidRPr="00D85E8F">
              <w:rPr>
                <w:i/>
              </w:rPr>
              <w:t>Cities</w:t>
            </w:r>
            <w:proofErr w:type="spellEnd"/>
            <w:r w:rsidRPr="00D85E8F">
              <w:rPr>
                <w:i/>
              </w:rPr>
              <w:t xml:space="preserve"> Marketing</w:t>
            </w:r>
            <w:r w:rsidRPr="004775E1">
              <w:t xml:space="preserve"> konvere</w:t>
            </w:r>
            <w:r>
              <w:t xml:space="preserve">ntsidivisjoni töös. </w:t>
            </w:r>
          </w:p>
          <w:p w:rsidR="00B1020E" w:rsidRPr="00F844E2" w:rsidRDefault="00B1020E" w:rsidP="00D85E8F">
            <w:pPr>
              <w:rPr>
                <w:b/>
              </w:rPr>
            </w:pPr>
            <w:r w:rsidRPr="004775E1">
              <w:t xml:space="preserve">Et osata hinnata Tallinna arenguid rahvusvahelisel konverentsiturul </w:t>
            </w:r>
            <w:r>
              <w:t xml:space="preserve">ning konverentsiturismi majanduslikku mõju </w:t>
            </w:r>
            <w:r w:rsidRPr="004775E1">
              <w:t xml:space="preserve">kogutakse konverentsiturismialast </w:t>
            </w:r>
            <w:r w:rsidRPr="004775E1">
              <w:rPr>
                <w:bCs/>
              </w:rPr>
              <w:t>statistikat</w:t>
            </w:r>
            <w:r w:rsidRPr="004775E1">
              <w:t xml:space="preserve"> ettevõtjatelt</w:t>
            </w:r>
            <w:r>
              <w:t xml:space="preserve"> koostöös </w:t>
            </w:r>
            <w:proofErr w:type="spellStart"/>
            <w:r w:rsidRPr="00D85E8F">
              <w:rPr>
                <w:i/>
              </w:rPr>
              <w:t>European</w:t>
            </w:r>
            <w:proofErr w:type="spellEnd"/>
            <w:r w:rsidRPr="00D85E8F">
              <w:rPr>
                <w:i/>
              </w:rPr>
              <w:t xml:space="preserve"> </w:t>
            </w:r>
            <w:proofErr w:type="spellStart"/>
            <w:r w:rsidRPr="00D85E8F">
              <w:rPr>
                <w:i/>
              </w:rPr>
              <w:t>Cities</w:t>
            </w:r>
            <w:proofErr w:type="spellEnd"/>
            <w:r w:rsidRPr="00D85E8F">
              <w:rPr>
                <w:i/>
              </w:rPr>
              <w:t xml:space="preserve"> </w:t>
            </w:r>
            <w:proofErr w:type="spellStart"/>
            <w:r w:rsidRPr="00D85E8F">
              <w:rPr>
                <w:i/>
              </w:rPr>
              <w:t>Marketin</w:t>
            </w:r>
            <w:r>
              <w:t>g</w:t>
            </w:r>
            <w:r w:rsidR="00D85E8F">
              <w:t>’</w:t>
            </w:r>
            <w:r>
              <w:t>i</w:t>
            </w:r>
            <w:proofErr w:type="spellEnd"/>
            <w:r>
              <w:t xml:space="preserve"> ja Eesti Konverentsibürooga.</w:t>
            </w:r>
            <w:r w:rsidR="00D85E8F">
              <w:t xml:space="preserve"> </w:t>
            </w:r>
            <w:r w:rsidRPr="004775E1">
              <w:t xml:space="preserve">Koostööd tehakse </w:t>
            </w:r>
            <w:r>
              <w:t xml:space="preserve">Tartu Konverentsibürooga, </w:t>
            </w:r>
            <w:r w:rsidRPr="004775E1">
              <w:rPr>
                <w:rStyle w:val="Strong"/>
                <w:b w:val="0"/>
                <w:bCs w:val="0"/>
              </w:rPr>
              <w:t>EAS Turismiarenduskeskusega</w:t>
            </w:r>
            <w:r>
              <w:rPr>
                <w:rStyle w:val="Strong"/>
                <w:b w:val="0"/>
                <w:bCs w:val="0"/>
              </w:rPr>
              <w:t xml:space="preserve"> ning Eesti Konverentsibürooga</w:t>
            </w:r>
            <w:r w:rsidRPr="004775E1">
              <w:rPr>
                <w:b/>
              </w:rPr>
              <w:t>.</w:t>
            </w:r>
          </w:p>
        </w:tc>
      </w:tr>
      <w:tr w:rsidR="00B1020E" w:rsidRPr="004775E1" w:rsidTr="0026748E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004D97" w:rsidRDefault="00B1020E" w:rsidP="0026748E">
            <w:pPr>
              <w:pStyle w:val="Heading1"/>
              <w:rPr>
                <w:sz w:val="24"/>
                <w:szCs w:val="24"/>
              </w:rPr>
            </w:pPr>
            <w:r w:rsidRPr="00004D97">
              <w:rPr>
                <w:sz w:val="24"/>
                <w:szCs w:val="24"/>
              </w:rPr>
              <w:lastRenderedPageBreak/>
              <w:t>Toote kvaliteeti või kvantiteeti sätestavad õigusaktid ja standardid</w:t>
            </w:r>
          </w:p>
        </w:tc>
      </w:tr>
      <w:tr w:rsidR="00B1020E" w:rsidRPr="004775E1" w:rsidTr="0026748E">
        <w:tc>
          <w:tcPr>
            <w:tcW w:w="784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r w:rsidRPr="004775E1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r w:rsidRPr="004775E1">
              <w:t>Paragrahv</w:t>
            </w:r>
          </w:p>
        </w:tc>
      </w:tr>
      <w:tr w:rsidR="00B1020E" w:rsidRPr="004775E1" w:rsidTr="0026748E">
        <w:trPr>
          <w:trHeight w:val="221"/>
        </w:trPr>
        <w:tc>
          <w:tcPr>
            <w:tcW w:w="784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20E" w:rsidRPr="002B2013" w:rsidRDefault="00B1020E" w:rsidP="0026748E">
            <w:bookmarkStart w:id="0" w:name="_GoBack"/>
            <w:r>
              <w:t>Tallinna arengukava 20</w:t>
            </w:r>
            <w:r w:rsidR="003F04F8">
              <w:t>14</w:t>
            </w:r>
            <w:r>
              <w:t>-202</w:t>
            </w:r>
            <w:r w:rsidR="003F04F8">
              <w:t>0</w:t>
            </w:r>
            <w:r>
              <w:t xml:space="preserve">, Tallinna Linnavolikogu </w:t>
            </w:r>
            <w:r w:rsidR="003F04F8">
              <w:t>28</w:t>
            </w:r>
            <w:r>
              <w:t>.06.20</w:t>
            </w:r>
            <w:r w:rsidR="003F04F8">
              <w:t>13</w:t>
            </w:r>
            <w:r>
              <w:t xml:space="preserve"> </w:t>
            </w:r>
            <w:r w:rsidR="003F04F8">
              <w:t xml:space="preserve">määrus nr </w:t>
            </w:r>
            <w:r>
              <w:t>29</w:t>
            </w:r>
            <w:r w:rsidRPr="00FC4E41">
              <w:t xml:space="preserve"> </w:t>
            </w:r>
            <w:hyperlink r:id="rId6" w:history="1">
              <w:r w:rsidRPr="003F04F8">
                <w:rPr>
                  <w:rStyle w:val="Hyperlink"/>
                </w:rPr>
                <w:t>lin</w:t>
              </w:r>
              <w:r w:rsidRPr="003F04F8">
                <w:rPr>
                  <w:rStyle w:val="Hyperlink"/>
                </w:rPr>
                <w:t>k</w:t>
              </w:r>
            </w:hyperlink>
            <w:r w:rsidRPr="003F04F8">
              <w:t>;</w:t>
            </w:r>
          </w:p>
          <w:bookmarkEnd w:id="0"/>
          <w:p w:rsidR="00B1020E" w:rsidRPr="004775E1" w:rsidRDefault="00B1020E" w:rsidP="0026748E">
            <w:r w:rsidRPr="00FC4E41">
              <w:t>Tallinna Ettevõt</w:t>
            </w:r>
            <w:r>
              <w:t>lusameti põhimäärus</w:t>
            </w:r>
            <w:r w:rsidRPr="00FC4E41">
              <w:t xml:space="preserve">, Tallinna Linnavolikogu </w:t>
            </w:r>
            <w:r>
              <w:t>16.10.2008</w:t>
            </w:r>
            <w:r w:rsidRPr="00FC4E41">
              <w:t xml:space="preserve"> määrus nr </w:t>
            </w:r>
            <w:r>
              <w:t xml:space="preserve">33 </w:t>
            </w:r>
            <w:hyperlink r:id="rId7" w:history="1">
              <w:r w:rsidRPr="006D3729">
                <w:rPr>
                  <w:rStyle w:val="Hyperlink"/>
                </w:rPr>
                <w:t>link</w:t>
              </w:r>
            </w:hyperlink>
            <w:r>
              <w:t xml:space="preserve"> 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20E" w:rsidRPr="004775E1" w:rsidRDefault="00B1020E" w:rsidP="0026748E"/>
        </w:tc>
      </w:tr>
      <w:tr w:rsidR="00B1020E" w:rsidRPr="004775E1" w:rsidTr="0026748E">
        <w:trPr>
          <w:trHeight w:val="221"/>
        </w:trPr>
        <w:tc>
          <w:tcPr>
            <w:tcW w:w="784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20E" w:rsidRPr="00FC4E41" w:rsidRDefault="00B1020E" w:rsidP="0026748E">
            <w:r w:rsidRPr="00FC4E41">
              <w:t>Linnavalitsuse õigusaktid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20E" w:rsidRPr="00FC4E41" w:rsidRDefault="00B1020E" w:rsidP="0026748E">
            <w:r w:rsidRPr="00FC4E41">
              <w:t>Paragrahv</w:t>
            </w:r>
          </w:p>
        </w:tc>
      </w:tr>
      <w:tr w:rsidR="00B1020E" w:rsidRPr="004775E1" w:rsidTr="0026748E">
        <w:trPr>
          <w:trHeight w:val="221"/>
        </w:trPr>
        <w:tc>
          <w:tcPr>
            <w:tcW w:w="784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20E" w:rsidRPr="00FC4E41" w:rsidRDefault="00B1020E" w:rsidP="0026748E">
            <w:pPr>
              <w:pStyle w:val="BodyText"/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20E" w:rsidRDefault="00B1020E" w:rsidP="0026748E"/>
        </w:tc>
      </w:tr>
      <w:tr w:rsidR="00B1020E" w:rsidRPr="004775E1" w:rsidTr="0026748E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pStyle w:val="BodyText"/>
              <w:rPr>
                <w:b/>
              </w:rPr>
            </w:pPr>
            <w:r w:rsidRPr="004775E1">
              <w:rPr>
                <w:b/>
              </w:rPr>
              <w:t>Toote sihtgrupi nimetus</w:t>
            </w:r>
          </w:p>
        </w:tc>
        <w:tc>
          <w:tcPr>
            <w:tcW w:w="64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20E" w:rsidRPr="004775E1" w:rsidRDefault="00B1020E" w:rsidP="0026748E">
            <w:pPr>
              <w:pStyle w:val="KINNITATUD"/>
            </w:pPr>
            <w:r w:rsidRPr="004775E1">
              <w:t>Tallinna konverentsiturismisektori aktiivsed ettevõtjad, välisriikide reisifirmad, professionaalsed ürituste korraldajad (PCO, DMC), korporatsioonide ja assotsiatsioonide, esinduste jms kui potentsiaalsete ürituste korraldajate, esindajad nii Eestis kui välismaal.</w:t>
            </w:r>
          </w:p>
        </w:tc>
      </w:tr>
      <w:tr w:rsidR="00B1020E" w:rsidRPr="004775E1" w:rsidTr="0026748E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rPr>
                <w:b/>
                <w:bCs/>
              </w:rPr>
            </w:pPr>
            <w:r w:rsidRPr="004775E1">
              <w:rPr>
                <w:b/>
                <w:bCs/>
              </w:rPr>
              <w:t>Mõõdiku nimetus</w:t>
            </w:r>
          </w:p>
        </w:tc>
      </w:tr>
      <w:tr w:rsidR="00B1020E" w:rsidRPr="004775E1" w:rsidTr="0026748E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20E" w:rsidRPr="004775E1" w:rsidRDefault="00B1020E" w:rsidP="0026748E">
            <w:r>
              <w:t>Tallinna majutusettevõtetes majutatud konverentsituristide arv.</w:t>
            </w:r>
          </w:p>
        </w:tc>
      </w:tr>
      <w:tr w:rsidR="00B1020E" w:rsidRPr="004775E1" w:rsidTr="0026748E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r w:rsidRPr="004775E1">
              <w:t>Ametiasutuse juht (nimi, allkiri)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r w:rsidRPr="004775E1"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r w:rsidRPr="004775E1">
              <w:t>Kuupäev</w:t>
            </w:r>
          </w:p>
        </w:tc>
      </w:tr>
      <w:tr w:rsidR="00B1020E" w:rsidRPr="004775E1" w:rsidTr="0026748E">
        <w:trPr>
          <w:trHeight w:val="488"/>
        </w:trPr>
        <w:tc>
          <w:tcPr>
            <w:tcW w:w="352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pPr>
              <w:pStyle w:val="Header"/>
            </w:pPr>
            <w:r>
              <w:t xml:space="preserve">Kairi </w:t>
            </w:r>
            <w:proofErr w:type="spellStart"/>
            <w:r>
              <w:t>Teniste</w:t>
            </w:r>
            <w:proofErr w:type="spellEnd"/>
          </w:p>
        </w:tc>
        <w:tc>
          <w:tcPr>
            <w:tcW w:w="32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1020E" w:rsidRPr="004775E1" w:rsidRDefault="00B1020E" w:rsidP="0026748E">
            <w:smartTag w:uri="urn:schemas-microsoft-com:office:smarttags" w:element="PersonName">
              <w:r>
                <w:t>Meeli Jaaksoo</w:t>
              </w:r>
            </w:smartTag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1020E" w:rsidRPr="004775E1" w:rsidRDefault="00B1020E" w:rsidP="0026748E">
            <w:r>
              <w:t>15.08.2013</w:t>
            </w:r>
          </w:p>
        </w:tc>
      </w:tr>
    </w:tbl>
    <w:p w:rsidR="00C87F21" w:rsidRDefault="00C87F21"/>
    <w:sectPr w:rsidR="00C8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E"/>
    <w:rsid w:val="003F04F8"/>
    <w:rsid w:val="0054239F"/>
    <w:rsid w:val="00B1020E"/>
    <w:rsid w:val="00C87F21"/>
    <w:rsid w:val="00D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20E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20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20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02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02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02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020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102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02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020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02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020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102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102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102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102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102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1020E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B102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20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020E"/>
  </w:style>
  <w:style w:type="character" w:customStyle="1" w:styleId="BodyTextChar">
    <w:name w:val="Body Text Char"/>
    <w:basedOn w:val="DefaultParagraphFont"/>
    <w:link w:val="BodyText"/>
    <w:uiPriority w:val="99"/>
    <w:rsid w:val="00B1020E"/>
    <w:rPr>
      <w:rFonts w:ascii="Times New Roman" w:eastAsia="Times New Roman" w:hAnsi="Times New Roman" w:cs="Times New Roman"/>
      <w:sz w:val="24"/>
      <w:szCs w:val="24"/>
    </w:rPr>
  </w:style>
  <w:style w:type="paragraph" w:customStyle="1" w:styleId="KINNITATUD">
    <w:name w:val="KINNITATUD"/>
    <w:uiPriority w:val="99"/>
    <w:rsid w:val="00B102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1020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1020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5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20E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20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20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02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02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02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020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102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02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020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02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020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102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102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102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102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102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1020E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B102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20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020E"/>
  </w:style>
  <w:style w:type="character" w:customStyle="1" w:styleId="BodyTextChar">
    <w:name w:val="Body Text Char"/>
    <w:basedOn w:val="DefaultParagraphFont"/>
    <w:link w:val="BodyText"/>
    <w:uiPriority w:val="99"/>
    <w:rsid w:val="00B1020E"/>
    <w:rPr>
      <w:rFonts w:ascii="Times New Roman" w:eastAsia="Times New Roman" w:hAnsi="Times New Roman" w:cs="Times New Roman"/>
      <w:sz w:val="24"/>
      <w:szCs w:val="24"/>
    </w:rPr>
  </w:style>
  <w:style w:type="paragraph" w:customStyle="1" w:styleId="KINNITATUD">
    <w:name w:val="KINNITATUD"/>
    <w:uiPriority w:val="99"/>
    <w:rsid w:val="00B102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1020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1020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5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igusaktid.tallinn.ee/?id=3001&amp;aktid=112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5062013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Pärlin</dc:creator>
  <cp:lastModifiedBy>Anne Viinapuu</cp:lastModifiedBy>
  <cp:revision>4</cp:revision>
  <dcterms:created xsi:type="dcterms:W3CDTF">2014-01-20T13:56:00Z</dcterms:created>
  <dcterms:modified xsi:type="dcterms:W3CDTF">2014-01-21T13:56:00Z</dcterms:modified>
</cp:coreProperties>
</file>