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1548"/>
        <w:gridCol w:w="1289"/>
        <w:gridCol w:w="694"/>
        <w:gridCol w:w="498"/>
        <w:gridCol w:w="2740"/>
        <w:gridCol w:w="1075"/>
        <w:gridCol w:w="1443"/>
      </w:tblGrid>
      <w:tr w:rsidR="00CE16E7" w:rsidRPr="00CE16E7" w:rsidTr="00773E3F"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Kood</w:t>
            </w:r>
          </w:p>
        </w:tc>
        <w:tc>
          <w:tcPr>
            <w:tcW w:w="7739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nimetus</w:t>
            </w:r>
          </w:p>
        </w:tc>
      </w:tr>
      <w:tr w:rsidR="00CE16E7" w:rsidRPr="00CE16E7" w:rsidTr="00773E3F"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0"/>
                <w:szCs w:val="24"/>
              </w:rPr>
              <w:t>248 12 13 00 0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3F7">
              <w:rPr>
                <w:rFonts w:ascii="Times New Roman" w:eastAsia="Times New Roman" w:hAnsi="Times New Roman" w:cs="Times New Roman"/>
                <w:sz w:val="24"/>
                <w:szCs w:val="24"/>
              </w:rPr>
              <w:t>Turismiinfrastruktuuri ja –teenuste kvaliteedi arendus</w:t>
            </w:r>
          </w:p>
        </w:tc>
      </w:tr>
      <w:tr w:rsidR="00CE16E7" w:rsidRPr="00CE16E7" w:rsidTr="00773E3F">
        <w:trPr>
          <w:trHeight w:val="28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Kood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Tootegrupi nimetus</w:t>
            </w:r>
          </w:p>
        </w:tc>
      </w:tr>
      <w:tr w:rsidR="00CE16E7" w:rsidRPr="00CE16E7" w:rsidTr="00773E3F">
        <w:trPr>
          <w:trHeight w:val="277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248 12 00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Turismi arendamine</w:t>
            </w:r>
          </w:p>
        </w:tc>
      </w:tr>
      <w:tr w:rsidR="00CE16E7" w:rsidRPr="00CE16E7" w:rsidTr="00773E3F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Kood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Tootevaldkonna nimetus</w:t>
            </w:r>
          </w:p>
        </w:tc>
      </w:tr>
      <w:tr w:rsidR="00CE16E7" w:rsidRPr="00CE16E7" w:rsidTr="00773E3F">
        <w:trPr>
          <w:trHeight w:val="277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248 00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Ettevõtluskeskkond</w:t>
            </w:r>
          </w:p>
        </w:tc>
      </w:tr>
      <w:tr w:rsidR="00CE16E7" w:rsidRPr="00CE16E7" w:rsidTr="00773E3F">
        <w:trPr>
          <w:trHeight w:val="278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Ametiasutus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Tootevastutaja (ametikoht)</w:t>
            </w:r>
          </w:p>
        </w:tc>
      </w:tr>
      <w:tr w:rsidR="00CE16E7" w:rsidRPr="00CE16E7" w:rsidTr="00773E3F">
        <w:trPr>
          <w:trHeight w:val="277"/>
        </w:trPr>
        <w:tc>
          <w:tcPr>
            <w:tcW w:w="4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Ettevõtlusamet</w:t>
            </w:r>
          </w:p>
        </w:tc>
        <w:tc>
          <w:tcPr>
            <w:tcW w:w="525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Turismiosakonna juhataja ja arenduse juhtivspetsialist</w:t>
            </w:r>
          </w:p>
        </w:tc>
      </w:tr>
      <w:tr w:rsidR="00CE16E7" w:rsidRPr="00CE16E7" w:rsidTr="00773E3F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eesmärk</w:t>
            </w:r>
          </w:p>
        </w:tc>
      </w:tr>
      <w:tr w:rsidR="00CE16E7" w:rsidRPr="00CE16E7" w:rsidTr="00773E3F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Tallinna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kui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turismisihtkoha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infrastruktuur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vastab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Tallinna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külastajate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põhivajadustele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ja Tallinna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külastajate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teenindamine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vastab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Euroopa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Liidu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headele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teenindustavadele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.</w:t>
            </w:r>
          </w:p>
        </w:tc>
      </w:tr>
      <w:tr w:rsidR="00CE16E7" w:rsidRPr="00CE16E7" w:rsidTr="00773E3F">
        <w:trPr>
          <w:trHeight w:val="418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üldine kirjeldus</w:t>
            </w:r>
          </w:p>
        </w:tc>
      </w:tr>
      <w:tr w:rsidR="00CE16E7" w:rsidRPr="00CE16E7" w:rsidTr="00773E3F">
        <w:trPr>
          <w:trHeight w:val="1161"/>
        </w:trPr>
        <w:tc>
          <w:tcPr>
            <w:tcW w:w="928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Tallinna turismiinfrastruktuuri ja –teenuste kvaliteedi arendamisel tehakse  koostööd linna erinevate institutsioonidega ning </w:t>
            </w:r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korraldatakse infovahetust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(ümarlauad, infopäevad, koolitused) erinevate linna ametiasutuste ning turismiettevõtjate vahel valdkondades, mis on tihedalt seotud turismimajanduse arengutega (turismiviidad, infotahvlid, turismibusside peatumine ja parkimine, turvalisus, meenekaubandus, giidid, taksondus jms). Planeeritud on tegevused teeninduskvaliteedi tõstmiseks. 2011.</w:t>
            </w:r>
            <w:r w:rsidR="00FC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aastal alustati Tallinna giidide atesteerimise koordineerimist ning alates 2012.</w:t>
            </w:r>
            <w:r w:rsidR="00FC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aastast viiakse läbi Tallinna giidide atesteerimine koostöös erialaliitudega (Eesti Giidide Liit, Tallinna Giidide Ühing ning Eesti Turismifirmade Liit).</w:t>
            </w:r>
          </w:p>
          <w:p w:rsidR="00CE16E7" w:rsidRPr="00CE16E7" w:rsidRDefault="00CE16E7" w:rsidP="00CE16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Igapäevaselt konsulteeritakse </w:t>
            </w:r>
            <w:r w:rsidR="00434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ametkondi, 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välismaiseid konsultatsioonifirmasid, turismiettevõtjaid</w:t>
            </w:r>
            <w:r w:rsidR="0043460C">
              <w:rPr>
                <w:rFonts w:ascii="Times New Roman" w:eastAsia="Times New Roman" w:hAnsi="Times New Roman" w:cs="Times New Roman"/>
                <w:sz w:val="24"/>
                <w:szCs w:val="24"/>
              </w:rPr>
              <w:t>, sh giide jt.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16E7" w:rsidRPr="00CE16E7" w:rsidRDefault="00CE16E7" w:rsidP="00CE16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2007.</w:t>
            </w:r>
            <w:r w:rsidR="00FC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aastal alustati liikumispuudega turistidele info kaardistamisega. 2008.-2009.</w:t>
            </w:r>
            <w:r w:rsidR="00FC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aastal viidi see info tarbijani. Pidevalt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monitooritakse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infrastruktuuri arenguid ning esitatakse parendusettepanekud linna teistele ametiasutustele. 2010. aastaks uute piirkondade ning objektide kaardistamist ega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monitoorimist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ette ei nähtud. 2011.</w:t>
            </w:r>
            <w:r w:rsidR="00FC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aastal panustati koostööle projekti „Tallinn kõigile“ raames (vaegturistide marsruutide audit, ekspertide teavitustöö jms).  2012.</w:t>
            </w:r>
            <w:r w:rsidR="00FC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aastal </w:t>
            </w:r>
            <w:r w:rsidR="0093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viidi läbi </w:t>
            </w:r>
            <w:proofErr w:type="spellStart"/>
            <w:r w:rsidR="00935D73">
              <w:rPr>
                <w:rFonts w:ascii="Times New Roman" w:eastAsia="Times New Roman" w:hAnsi="Times New Roman" w:cs="Times New Roman"/>
                <w:sz w:val="24"/>
                <w:szCs w:val="24"/>
              </w:rPr>
              <w:t>pilootpojektina</w:t>
            </w:r>
            <w:proofErr w:type="spellEnd"/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Tallinna majutusettevõtete vaegturistidele sobivuse auditit koostöös Tallinna Liikumispuudega Inimeste Ühingu ja ettevõtjatega.</w:t>
            </w:r>
          </w:p>
          <w:p w:rsidR="00CE16E7" w:rsidRPr="00CE16E7" w:rsidRDefault="00CE16E7" w:rsidP="00CE16E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Turismiosakond teeb </w:t>
            </w:r>
            <w:r w:rsidRPr="00CE1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koostööd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erasektoriga, turismiorganisatsioonide ja EAS Turismiarenduskeskusega ning teiste turismi arendamisega seotud institutsioonidega. </w:t>
            </w:r>
          </w:p>
          <w:p w:rsidR="00CE16E7" w:rsidRPr="00CE16E7" w:rsidRDefault="00CE16E7" w:rsidP="00CE16E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Tallinn on Euroopa turismilinnade ühenduse </w:t>
            </w:r>
            <w:proofErr w:type="spellStart"/>
            <w:r w:rsidRPr="00FC2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European</w:t>
            </w:r>
            <w:proofErr w:type="spellEnd"/>
            <w:r w:rsidRPr="00FC2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2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Cities</w:t>
            </w:r>
            <w:proofErr w:type="spellEnd"/>
            <w:r w:rsidRPr="00FC2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Marketing 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liige. Osaletakse organisatsiooni ja selle töögruppide töös. Tallinn teeb koostööd Läänemere regiooni pealinnadega, eesmärgiga vahetada kogemusi ja teadmisi ning teha koostööd erinevates arendusprojektides ning turundustegevustes.</w:t>
            </w:r>
          </w:p>
        </w:tc>
      </w:tr>
      <w:tr w:rsidR="00CE16E7" w:rsidRPr="00CE16E7" w:rsidTr="00773E3F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kvaliteeti või kvantiteeti sätestavad õigusaktid ja standardid</w:t>
            </w:r>
          </w:p>
        </w:tc>
      </w:tr>
      <w:tr w:rsidR="00CE16E7" w:rsidRPr="00CE16E7" w:rsidTr="00773E3F">
        <w:tc>
          <w:tcPr>
            <w:tcW w:w="7844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Riiklikud õigusaktid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Paragrahv</w:t>
            </w:r>
          </w:p>
        </w:tc>
      </w:tr>
      <w:tr w:rsidR="00CE16E7" w:rsidRPr="00CE16E7" w:rsidTr="00773E3F">
        <w:trPr>
          <w:trHeight w:val="404"/>
        </w:trPr>
        <w:tc>
          <w:tcPr>
            <w:tcW w:w="7844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6E7" w:rsidRPr="00CE16E7" w:rsidRDefault="00CE16E7" w:rsidP="00CE16E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Turismiseadus </w:t>
            </w:r>
            <w:hyperlink r:id="rId5" w:history="1">
              <w:r w:rsidRPr="00FC29A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link</w:t>
              </w:r>
            </w:hyperlink>
            <w:r w:rsidRPr="00CE16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</w:p>
          <w:p w:rsidR="00CE16E7" w:rsidRPr="00CE16E7" w:rsidRDefault="00CE16E7" w:rsidP="00CE16E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6E7" w:rsidRPr="00CE16E7" w:rsidTr="00773E3F">
        <w:tc>
          <w:tcPr>
            <w:tcW w:w="7844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Linnavolikogu õigusaktid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Paragrahv</w:t>
            </w:r>
          </w:p>
        </w:tc>
      </w:tr>
      <w:tr w:rsidR="00CE16E7" w:rsidRPr="00CE16E7" w:rsidTr="00773E3F">
        <w:trPr>
          <w:trHeight w:val="221"/>
        </w:trPr>
        <w:tc>
          <w:tcPr>
            <w:tcW w:w="7844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46BE" w:rsidRPr="00CE16E7" w:rsidRDefault="002746BE" w:rsidP="0027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arengukava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Tallinna Linnavolikogu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määrus nr </w:t>
            </w: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hyperlink r:id="rId6" w:history="1">
              <w:r w:rsidRPr="002746B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link;</w:t>
              </w:r>
            </w:hyperlink>
            <w:bookmarkStart w:id="0" w:name="_GoBack"/>
            <w:bookmarkEnd w:id="0"/>
          </w:p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Tallinna Ettevõtlusameti põhimäärus, Tallinna Linnavolikogu 16.10.2008 määrus nr 33 </w:t>
            </w:r>
            <w:hyperlink r:id="rId7" w:history="1">
              <w:r w:rsidRPr="00CE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link</w:t>
              </w:r>
            </w:hyperlink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6E7" w:rsidRPr="00CE16E7" w:rsidTr="00773E3F">
        <w:tc>
          <w:tcPr>
            <w:tcW w:w="7844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Linnavalitsuse õigusaktid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Paragrahv</w:t>
            </w:r>
          </w:p>
        </w:tc>
      </w:tr>
      <w:tr w:rsidR="00CE16E7" w:rsidRPr="00CE16E7" w:rsidTr="00773E3F">
        <w:trPr>
          <w:trHeight w:val="255"/>
        </w:trPr>
        <w:tc>
          <w:tcPr>
            <w:tcW w:w="7844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6E7" w:rsidRPr="00CE16E7" w:rsidRDefault="00CE16E7" w:rsidP="00CE16E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Tallinna Linnavalitsuse 09.02.2011 korraldus nr 166-k </w:t>
            </w:r>
            <w:hyperlink r:id="rId8" w:history="1">
              <w:r w:rsidRPr="00FC29A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link</w:t>
              </w:r>
            </w:hyperlink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6E7" w:rsidRPr="00CE16E7" w:rsidTr="00773E3F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Ametkondlikud regulatiivaktid</w:t>
            </w:r>
          </w:p>
        </w:tc>
      </w:tr>
      <w:tr w:rsidR="00CE16E7" w:rsidRPr="00CE16E7" w:rsidTr="00773E3F">
        <w:trPr>
          <w:trHeight w:val="235"/>
        </w:trPr>
        <w:tc>
          <w:tcPr>
            <w:tcW w:w="9287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6E7" w:rsidRPr="00CE16E7" w:rsidRDefault="00CE16E7" w:rsidP="00CE16E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Ettevõtlusameti juhataja 18.02.2011 käskkiri nr 1-3/27.</w:t>
            </w:r>
          </w:p>
        </w:tc>
      </w:tr>
      <w:tr w:rsidR="00CE16E7" w:rsidRPr="00CE16E7" w:rsidTr="00773E3F"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Toote sihtgrupi nimetus</w:t>
            </w:r>
          </w:p>
        </w:tc>
        <w:tc>
          <w:tcPr>
            <w:tcW w:w="6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külalised ja potentsiaalsed külalised, sise- ja välisturistid, Tallinna turismiettevõtjad.</w:t>
            </w:r>
          </w:p>
        </w:tc>
      </w:tr>
      <w:tr w:rsidR="00CE16E7" w:rsidRPr="00CE16E7" w:rsidTr="00773E3F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Mõõdiku nimetus</w:t>
            </w:r>
          </w:p>
        </w:tc>
      </w:tr>
      <w:tr w:rsidR="00CE16E7" w:rsidRPr="00CE16E7" w:rsidTr="00773E3F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väliskülastajate rahulolu.</w:t>
            </w:r>
          </w:p>
        </w:tc>
      </w:tr>
      <w:tr w:rsidR="00CE16E7" w:rsidRPr="00CE16E7" w:rsidTr="00773E3F"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Ametiasutuse juht (nimi, allkiri)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Tootevastutaja (nimi, allkiri)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Kuupäev</w:t>
            </w:r>
          </w:p>
        </w:tc>
      </w:tr>
      <w:tr w:rsidR="00CE16E7" w:rsidRPr="00CE16E7" w:rsidTr="00773E3F">
        <w:trPr>
          <w:trHeight w:val="488"/>
        </w:trPr>
        <w:tc>
          <w:tcPr>
            <w:tcW w:w="35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Kairi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Teniste</w:t>
            </w:r>
            <w:proofErr w:type="spellEnd"/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Evelin </w:t>
            </w:r>
            <w:proofErr w:type="spellStart"/>
            <w:r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Tsirk</w:t>
            </w:r>
            <w:proofErr w:type="spellEnd"/>
          </w:p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r w:rsidRPr="00CE16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Leelo </w:t>
              </w:r>
              <w:proofErr w:type="spellStart"/>
              <w:r w:rsidRPr="00CE16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Ilbis</w:t>
              </w:r>
            </w:smartTag>
            <w:proofErr w:type="spellEnd"/>
          </w:p>
          <w:p w:rsidR="00CE16E7" w:rsidRPr="00CE16E7" w:rsidRDefault="00CE16E7" w:rsidP="00CE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E16E7" w:rsidRPr="00CE16E7" w:rsidRDefault="000A0DE3" w:rsidP="000A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E16E7" w:rsidRPr="00CE16E7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C0805" w:rsidRDefault="002746BE"/>
    <w:sectPr w:rsidR="001C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E7"/>
    <w:rsid w:val="000A0DE3"/>
    <w:rsid w:val="002746BE"/>
    <w:rsid w:val="002961BA"/>
    <w:rsid w:val="002A2D20"/>
    <w:rsid w:val="002B1360"/>
    <w:rsid w:val="0043460C"/>
    <w:rsid w:val="00675BE5"/>
    <w:rsid w:val="00691F3E"/>
    <w:rsid w:val="007123F7"/>
    <w:rsid w:val="00755378"/>
    <w:rsid w:val="008774CC"/>
    <w:rsid w:val="00935D73"/>
    <w:rsid w:val="00CE16E7"/>
    <w:rsid w:val="00CF438B"/>
    <w:rsid w:val="00EA7728"/>
    <w:rsid w:val="00F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119554&amp;fd=1&amp;leht=1&amp;q_sort=elex_akt.akt_vk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gusaktid.tallinn.ee/?id=3001&amp;aktid=1124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425062013041" TargetMode="External"/><Relationship Id="rId5" Type="http://schemas.openxmlformats.org/officeDocument/2006/relationships/hyperlink" Target="https://www.riigiteataja.ee/akt/898545?leiaKeht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Leelo Ilbis</dc:creator>
  <cp:lastModifiedBy>Anne Viinapuu</cp:lastModifiedBy>
  <cp:revision>4</cp:revision>
  <cp:lastPrinted>2013-08-14T13:14:00Z</cp:lastPrinted>
  <dcterms:created xsi:type="dcterms:W3CDTF">2014-01-20T13:59:00Z</dcterms:created>
  <dcterms:modified xsi:type="dcterms:W3CDTF">2014-01-21T13:59:00Z</dcterms:modified>
</cp:coreProperties>
</file>